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140E1E7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</w:t>
      </w:r>
      <w:r w:rsidR="00A11E7F" w:rsidRPr="00A11E7F">
        <w:rPr>
          <w:rFonts w:ascii="Times New Roman" w:eastAsia="Aptos" w:hAnsi="Times New Roman" w:cs="Times New Roman"/>
          <w:b/>
          <w:kern w:val="2"/>
          <w:sz w:val="28"/>
          <w:szCs w:val="28"/>
        </w:rPr>
        <w:t>Русский язык и культура речи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3AC1CC3F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7A75EDF8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1937422D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77F26E38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A7B4B30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57003931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3E9EF4F4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7327FA8C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5FC3B8C1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7293B387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275B4612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739BD61C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3C71EB81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79648D1A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21860519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2D7E643A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64D7DE3C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4875837B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5F41DDCC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7CE6CC53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аннот.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3D39779A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E7F" w:rsidRPr="00A11E7F">
        <w:rPr>
          <w:rFonts w:ascii="Times New Roman" w:hAnsi="Times New Roman" w:cs="Times New Roman"/>
          <w:sz w:val="28"/>
          <w:szCs w:val="28"/>
        </w:rPr>
        <w:t>УК-3, УК-6</w:t>
      </w:r>
      <w:r w:rsidR="00A11E7F">
        <w:rPr>
          <w:rFonts w:ascii="Times New Roman" w:hAnsi="Times New Roman" w:cs="Times New Roman"/>
          <w:sz w:val="28"/>
          <w:szCs w:val="28"/>
        </w:rPr>
        <w:t>.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FA2A2" w14:textId="77777777" w:rsidR="002A3B1A" w:rsidRDefault="002A3B1A">
      <w:pPr>
        <w:spacing w:after="0" w:line="240" w:lineRule="auto"/>
      </w:pPr>
      <w:r>
        <w:separator/>
      </w:r>
    </w:p>
  </w:endnote>
  <w:endnote w:type="continuationSeparator" w:id="0">
    <w:p w14:paraId="35D51854" w14:textId="77777777" w:rsidR="002A3B1A" w:rsidRDefault="002A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2A7B" w14:textId="77777777" w:rsidR="002A3B1A" w:rsidRDefault="002A3B1A">
      <w:pPr>
        <w:spacing w:after="0" w:line="240" w:lineRule="auto"/>
      </w:pPr>
      <w:r>
        <w:separator/>
      </w:r>
    </w:p>
  </w:footnote>
  <w:footnote w:type="continuationSeparator" w:id="0">
    <w:p w14:paraId="319C7104" w14:textId="77777777" w:rsidR="002A3B1A" w:rsidRDefault="002A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A3B1A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1E7F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CDB3-AB66-40B9-89F9-40ECD8F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Артем Левашов</cp:lastModifiedBy>
  <cp:revision>5</cp:revision>
  <dcterms:created xsi:type="dcterms:W3CDTF">2025-02-27T10:24:00Z</dcterms:created>
  <dcterms:modified xsi:type="dcterms:W3CDTF">2025-03-20T08:49:00Z</dcterms:modified>
</cp:coreProperties>
</file>