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70C98A71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="003C46D1">
        <w:t xml:space="preserve"> </w:t>
      </w:r>
      <w:r w:rsidRPr="00BB4E23">
        <w:t>«</w:t>
      </w:r>
      <w:r w:rsidR="001E57E3" w:rsidRPr="001E57E3">
        <w:t>Обследование и испытание зданий и сооружений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7101C877" w:rsidR="0092015D" w:rsidRDefault="00800063" w:rsidP="0092015D">
      <w:r w:rsidRPr="00800063">
        <w:t>Первое обследование технического состояния здания, эксплуатируемого в обычных условиях, проводят</w:t>
      </w:r>
      <w:r w:rsidR="00542091">
        <w:t>:</w:t>
      </w:r>
    </w:p>
    <w:p w14:paraId="20687514" w14:textId="68181257" w:rsidR="00800063" w:rsidRPr="00800063" w:rsidRDefault="00FC02A6" w:rsidP="00800063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800063">
        <w:rPr>
          <w:rFonts w:eastAsiaTheme="minorEastAsia"/>
        </w:rPr>
        <w:t>Не позднее чем ч</w:t>
      </w:r>
      <w:r w:rsidR="00800063" w:rsidRPr="00800063">
        <w:rPr>
          <w:rFonts w:eastAsiaTheme="minorEastAsia"/>
        </w:rPr>
        <w:t>ерез 2 года после ввода в эксплуатацию</w:t>
      </w:r>
      <w:r w:rsidR="00800063">
        <w:rPr>
          <w:rFonts w:eastAsiaTheme="minorEastAsia"/>
        </w:rPr>
        <w:t>.</w:t>
      </w:r>
    </w:p>
    <w:p w14:paraId="6260450C" w14:textId="0553F21D" w:rsidR="00800063" w:rsidRPr="00800063" w:rsidRDefault="00800063" w:rsidP="00800063">
      <w:pPr>
        <w:rPr>
          <w:rFonts w:eastAsiaTheme="minorEastAsia"/>
        </w:rPr>
      </w:pPr>
      <w:r w:rsidRPr="00800063">
        <w:rPr>
          <w:rFonts w:eastAsiaTheme="minorEastAsia"/>
        </w:rPr>
        <w:t xml:space="preserve">Б) </w:t>
      </w:r>
      <w:r>
        <w:rPr>
          <w:rFonts w:eastAsiaTheme="minorEastAsia"/>
        </w:rPr>
        <w:t>Не позднее чем ч</w:t>
      </w:r>
      <w:r w:rsidRPr="00800063">
        <w:rPr>
          <w:rFonts w:eastAsiaTheme="minorEastAsia"/>
        </w:rPr>
        <w:t xml:space="preserve">ерез 1 год после ввода в эксплуатацию </w:t>
      </w:r>
    </w:p>
    <w:p w14:paraId="2245D3D3" w14:textId="316B224D" w:rsidR="00800063" w:rsidRPr="00800063" w:rsidRDefault="00800063" w:rsidP="00800063">
      <w:pPr>
        <w:rPr>
          <w:rFonts w:eastAsiaTheme="minorEastAsia"/>
        </w:rPr>
      </w:pPr>
      <w:r w:rsidRPr="00800063">
        <w:rPr>
          <w:rFonts w:eastAsiaTheme="minorEastAsia"/>
        </w:rPr>
        <w:t xml:space="preserve">В) </w:t>
      </w:r>
      <w:r>
        <w:rPr>
          <w:rFonts w:eastAsiaTheme="minorEastAsia"/>
        </w:rPr>
        <w:t>Не позднее чем ч</w:t>
      </w:r>
      <w:r w:rsidRPr="00800063">
        <w:rPr>
          <w:rFonts w:eastAsiaTheme="minorEastAsia"/>
        </w:rPr>
        <w:t>ерез 3 года после ввода в эксплуатацию</w:t>
      </w:r>
    </w:p>
    <w:p w14:paraId="1829EF50" w14:textId="5517100E" w:rsidR="00B26C36" w:rsidRPr="00B26C36" w:rsidRDefault="00800063" w:rsidP="00800063">
      <w:pPr>
        <w:rPr>
          <w:rFonts w:eastAsiaTheme="minorEastAsia"/>
        </w:rPr>
      </w:pPr>
      <w:r w:rsidRPr="00800063">
        <w:rPr>
          <w:rFonts w:eastAsiaTheme="minorEastAsia"/>
        </w:rPr>
        <w:t xml:space="preserve">Г) </w:t>
      </w:r>
      <w:r>
        <w:rPr>
          <w:rFonts w:eastAsiaTheme="minorEastAsia"/>
        </w:rPr>
        <w:t>Не позднее чем ч</w:t>
      </w:r>
      <w:r w:rsidRPr="00800063">
        <w:rPr>
          <w:rFonts w:eastAsiaTheme="minorEastAsia"/>
        </w:rPr>
        <w:t>ерез 4 года после ввода в эксплуатацию</w:t>
      </w:r>
      <w:r w:rsidR="00B26C36" w:rsidRPr="00B26C36">
        <w:rPr>
          <w:rFonts w:eastAsiaTheme="minorEastAsia"/>
        </w:rPr>
        <w:t>.</w:t>
      </w:r>
    </w:p>
    <w:p w14:paraId="7B7D2707" w14:textId="7ACDC8A8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2D4C13">
        <w:rPr>
          <w:rFonts w:eastAsiaTheme="minorEastAsia"/>
        </w:rPr>
        <w:t>А</w:t>
      </w:r>
    </w:p>
    <w:p w14:paraId="43BFE81B" w14:textId="049A0723" w:rsidR="0092015D" w:rsidRDefault="0092015D" w:rsidP="00B26C36">
      <w:r w:rsidRPr="00D726DB">
        <w:t>Компетенции (индикаторы):</w:t>
      </w:r>
      <w:r w:rsidR="00FC02A6">
        <w:t xml:space="preserve"> </w:t>
      </w:r>
      <w:r w:rsidR="002D4C13">
        <w:t>О</w:t>
      </w:r>
      <w:r w:rsidR="00FC02A6">
        <w:t>ПК-</w:t>
      </w:r>
      <w:r w:rsidR="00500B09">
        <w:t>6</w:t>
      </w:r>
    </w:p>
    <w:p w14:paraId="11761935" w14:textId="1D15980E" w:rsidR="0092015D" w:rsidRDefault="0092015D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EA7ACED" w14:textId="77777777" w:rsidR="002D4C13" w:rsidRDefault="002D4C13" w:rsidP="002D4C13">
      <w: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D4C13" w14:paraId="26E53FAB" w14:textId="77777777" w:rsidTr="001F52DD">
        <w:tc>
          <w:tcPr>
            <w:tcW w:w="562" w:type="dxa"/>
          </w:tcPr>
          <w:p w14:paraId="31A1E028" w14:textId="77777777" w:rsidR="002D4C13" w:rsidRDefault="002D4C13" w:rsidP="001F52DD">
            <w:pPr>
              <w:ind w:firstLine="0"/>
            </w:pPr>
          </w:p>
        </w:tc>
        <w:tc>
          <w:tcPr>
            <w:tcW w:w="4251" w:type="dxa"/>
          </w:tcPr>
          <w:p w14:paraId="2A213347" w14:textId="6A17D349" w:rsidR="002D4C13" w:rsidRDefault="007413F5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  <w:tc>
          <w:tcPr>
            <w:tcW w:w="711" w:type="dxa"/>
          </w:tcPr>
          <w:p w14:paraId="56B8EEFA" w14:textId="77777777" w:rsidR="002D4C13" w:rsidRDefault="002D4C13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FB4D1E7" w14:textId="4FBD4F2F" w:rsidR="002D4C13" w:rsidRDefault="007413F5" w:rsidP="001F52DD">
            <w:pPr>
              <w:ind w:firstLine="0"/>
              <w:jc w:val="center"/>
            </w:pPr>
            <w:r>
              <w:t>Понятие</w:t>
            </w:r>
          </w:p>
        </w:tc>
      </w:tr>
      <w:tr w:rsidR="002D4C13" w14:paraId="15DC35CB" w14:textId="77777777" w:rsidTr="001F52DD">
        <w:tc>
          <w:tcPr>
            <w:tcW w:w="562" w:type="dxa"/>
          </w:tcPr>
          <w:p w14:paraId="43C8582A" w14:textId="77777777" w:rsidR="002D4C13" w:rsidRDefault="002D4C13" w:rsidP="002D4C1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7EB2350" w14:textId="79B69EAC" w:rsidR="002D4C13" w:rsidRPr="00FC02A6" w:rsidRDefault="00800063" w:rsidP="002D4C13">
            <w:pPr>
              <w:ind w:firstLine="0"/>
              <w:rPr>
                <w:szCs w:val="28"/>
              </w:rPr>
            </w:pPr>
            <w:r w:rsidRPr="00800063">
              <w:t>Линейное перемещение</w:t>
            </w:r>
          </w:p>
        </w:tc>
        <w:tc>
          <w:tcPr>
            <w:tcW w:w="711" w:type="dxa"/>
          </w:tcPr>
          <w:p w14:paraId="12B6AF06" w14:textId="77777777" w:rsidR="002D4C13" w:rsidRDefault="002D4C13" w:rsidP="002D4C1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5652F82" w14:textId="3163E093" w:rsidR="002D4C13" w:rsidRPr="00FC02A6" w:rsidRDefault="00800063" w:rsidP="002D4C13">
            <w:pPr>
              <w:ind w:firstLine="0"/>
              <w:rPr>
                <w:szCs w:val="28"/>
              </w:rPr>
            </w:pPr>
            <w:r w:rsidRPr="00800063">
              <w:t>Индикатор часового типа</w:t>
            </w:r>
          </w:p>
        </w:tc>
      </w:tr>
      <w:tr w:rsidR="002D4C13" w14:paraId="3F596A86" w14:textId="77777777" w:rsidTr="001F52DD">
        <w:tc>
          <w:tcPr>
            <w:tcW w:w="562" w:type="dxa"/>
          </w:tcPr>
          <w:p w14:paraId="3C085CA0" w14:textId="77777777" w:rsidR="002D4C13" w:rsidRDefault="002D4C13" w:rsidP="002D4C1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7D64297" w14:textId="134A4532" w:rsidR="002D4C13" w:rsidRPr="00FC02A6" w:rsidRDefault="00800063" w:rsidP="002D4C13">
            <w:pPr>
              <w:ind w:firstLine="0"/>
              <w:rPr>
                <w:szCs w:val="28"/>
              </w:rPr>
            </w:pPr>
            <w:r w:rsidRPr="00800063">
              <w:t>Коррозия</w:t>
            </w:r>
          </w:p>
        </w:tc>
        <w:tc>
          <w:tcPr>
            <w:tcW w:w="711" w:type="dxa"/>
          </w:tcPr>
          <w:p w14:paraId="61C553E0" w14:textId="77777777" w:rsidR="002D4C13" w:rsidRDefault="002D4C13" w:rsidP="002D4C1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A2F9AFA" w14:textId="28EA4F59" w:rsidR="002D4C13" w:rsidRPr="00FC02A6" w:rsidRDefault="00800063" w:rsidP="002D4C13">
            <w:pPr>
              <w:ind w:firstLine="0"/>
              <w:rPr>
                <w:szCs w:val="28"/>
              </w:rPr>
            </w:pPr>
            <w:r w:rsidRPr="00800063">
              <w:t>Портативный коррозиметр</w:t>
            </w:r>
          </w:p>
        </w:tc>
      </w:tr>
      <w:tr w:rsidR="002D4C13" w14:paraId="3C53D1B0" w14:textId="77777777" w:rsidTr="001F52DD">
        <w:tc>
          <w:tcPr>
            <w:tcW w:w="562" w:type="dxa"/>
          </w:tcPr>
          <w:p w14:paraId="64585A43" w14:textId="77777777" w:rsidR="002D4C13" w:rsidRDefault="002D4C13" w:rsidP="002D4C1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C8BB666" w14:textId="395C7311" w:rsidR="002D4C13" w:rsidRPr="00FC02A6" w:rsidRDefault="00800063" w:rsidP="002D4C13">
            <w:pPr>
              <w:ind w:firstLine="0"/>
              <w:rPr>
                <w:szCs w:val="28"/>
              </w:rPr>
            </w:pPr>
            <w:r>
              <w:t>И</w:t>
            </w:r>
            <w:r w:rsidRPr="00800063">
              <w:t>змерения напряжений и деформаций</w:t>
            </w:r>
          </w:p>
        </w:tc>
        <w:tc>
          <w:tcPr>
            <w:tcW w:w="711" w:type="dxa"/>
          </w:tcPr>
          <w:p w14:paraId="06E13CC7" w14:textId="77777777" w:rsidR="002D4C13" w:rsidRDefault="002D4C13" w:rsidP="002D4C1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E549FB" w14:textId="7B59D482" w:rsidR="002D4C13" w:rsidRPr="00FC02A6" w:rsidRDefault="00800063" w:rsidP="002D4C13">
            <w:pPr>
              <w:ind w:firstLine="0"/>
              <w:rPr>
                <w:szCs w:val="28"/>
              </w:rPr>
            </w:pPr>
            <w:r w:rsidRPr="00800063">
              <w:t>Тензодатчики (тензорезисторы)</w:t>
            </w:r>
          </w:p>
        </w:tc>
      </w:tr>
    </w:tbl>
    <w:p w14:paraId="4D63D774" w14:textId="77777777" w:rsidR="002D4C13" w:rsidRDefault="002D4C13" w:rsidP="002D4C13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00063" w14:paraId="306D1E41" w14:textId="77777777" w:rsidTr="001F52DD">
        <w:tc>
          <w:tcPr>
            <w:tcW w:w="2406" w:type="dxa"/>
          </w:tcPr>
          <w:p w14:paraId="0A4D5EA0" w14:textId="77777777" w:rsidR="00800063" w:rsidRPr="00DB7C34" w:rsidRDefault="0080006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33DFAA" w14:textId="77777777" w:rsidR="00800063" w:rsidRPr="00DB7C34" w:rsidRDefault="0080006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21857CC" w14:textId="77777777" w:rsidR="00800063" w:rsidRPr="00DB7C34" w:rsidRDefault="00800063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00063" w14:paraId="47234DBA" w14:textId="77777777" w:rsidTr="001F52DD">
        <w:tc>
          <w:tcPr>
            <w:tcW w:w="2406" w:type="dxa"/>
          </w:tcPr>
          <w:p w14:paraId="652E77D5" w14:textId="0064EC04" w:rsidR="00800063" w:rsidRPr="00DB7C34" w:rsidRDefault="00800063" w:rsidP="001F5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2B80683" w14:textId="77777777" w:rsidR="00800063" w:rsidRDefault="00800063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8DEAB27" w14:textId="4F5BB1E6" w:rsidR="00800063" w:rsidRDefault="00800063" w:rsidP="001F52DD">
            <w:pPr>
              <w:ind w:firstLine="0"/>
              <w:jc w:val="center"/>
            </w:pPr>
            <w:r>
              <w:t>В</w:t>
            </w:r>
          </w:p>
        </w:tc>
      </w:tr>
    </w:tbl>
    <w:p w14:paraId="3069AF6A" w14:textId="26971E5F" w:rsidR="002D4C13" w:rsidRDefault="002D4C13" w:rsidP="002D4C13">
      <w:r>
        <w:t>Компетенции (индикаторы): ОПК-</w:t>
      </w:r>
      <w:r w:rsidR="00500B09">
        <w:t>6</w:t>
      </w:r>
    </w:p>
    <w:p w14:paraId="494BFD52" w14:textId="3330B54A" w:rsidR="00721A69" w:rsidRDefault="00721A69" w:rsidP="00721A69"/>
    <w:p w14:paraId="38F3D040" w14:textId="0DF6D61A" w:rsidR="007413F5" w:rsidRDefault="007413F5" w:rsidP="007413F5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567"/>
        <w:gridCol w:w="3536"/>
      </w:tblGrid>
      <w:tr w:rsidR="007413F5" w14:paraId="22797738" w14:textId="77777777" w:rsidTr="003C46D1">
        <w:tc>
          <w:tcPr>
            <w:tcW w:w="562" w:type="dxa"/>
          </w:tcPr>
          <w:p w14:paraId="7C88FAF1" w14:textId="77777777" w:rsidR="007413F5" w:rsidRDefault="007413F5" w:rsidP="001F52DD">
            <w:pPr>
              <w:ind w:firstLine="0"/>
            </w:pPr>
          </w:p>
        </w:tc>
        <w:tc>
          <w:tcPr>
            <w:tcW w:w="4962" w:type="dxa"/>
          </w:tcPr>
          <w:p w14:paraId="2E0FEBA2" w14:textId="7E2F220F" w:rsidR="007413F5" w:rsidRDefault="007413F5" w:rsidP="001F52DD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567" w:type="dxa"/>
          </w:tcPr>
          <w:p w14:paraId="33CF77E6" w14:textId="77777777" w:rsidR="007413F5" w:rsidRDefault="007413F5" w:rsidP="001F52DD">
            <w:pPr>
              <w:ind w:firstLine="0"/>
              <w:jc w:val="center"/>
            </w:pPr>
          </w:p>
        </w:tc>
        <w:tc>
          <w:tcPr>
            <w:tcW w:w="3536" w:type="dxa"/>
          </w:tcPr>
          <w:p w14:paraId="3937886C" w14:textId="6BCBFB75" w:rsidR="007413F5" w:rsidRDefault="007413F5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</w:tr>
      <w:tr w:rsidR="007413F5" w14:paraId="557F05EC" w14:textId="77777777" w:rsidTr="003C46D1">
        <w:tc>
          <w:tcPr>
            <w:tcW w:w="562" w:type="dxa"/>
          </w:tcPr>
          <w:p w14:paraId="28DF6CF9" w14:textId="77777777" w:rsidR="007413F5" w:rsidRDefault="007413F5" w:rsidP="001F52DD">
            <w:pPr>
              <w:ind w:firstLine="0"/>
            </w:pPr>
            <w:r>
              <w:t>1)</w:t>
            </w:r>
          </w:p>
        </w:tc>
        <w:tc>
          <w:tcPr>
            <w:tcW w:w="4962" w:type="dxa"/>
          </w:tcPr>
          <w:p w14:paraId="1E6446D4" w14:textId="08E14A06" w:rsidR="007413F5" w:rsidRPr="00FC02A6" w:rsidRDefault="00500B09" w:rsidP="001F52DD">
            <w:pPr>
              <w:ind w:firstLine="0"/>
              <w:rPr>
                <w:szCs w:val="28"/>
              </w:rPr>
            </w:pPr>
            <w:r w:rsidRPr="00500B09">
              <w:rPr>
                <w:szCs w:val="28"/>
              </w:rPr>
              <w:t>Испытание бетонного образца в прессе</w:t>
            </w:r>
          </w:p>
        </w:tc>
        <w:tc>
          <w:tcPr>
            <w:tcW w:w="567" w:type="dxa"/>
          </w:tcPr>
          <w:p w14:paraId="07FDF99A" w14:textId="77777777" w:rsidR="007413F5" w:rsidRDefault="007413F5" w:rsidP="001F52DD">
            <w:pPr>
              <w:ind w:firstLine="0"/>
            </w:pPr>
            <w:r>
              <w:t>А)</w:t>
            </w:r>
          </w:p>
        </w:tc>
        <w:tc>
          <w:tcPr>
            <w:tcW w:w="3536" w:type="dxa"/>
          </w:tcPr>
          <w:p w14:paraId="355D4078" w14:textId="6045569B" w:rsidR="007413F5" w:rsidRPr="00FC02A6" w:rsidRDefault="00500B09" w:rsidP="00500B09">
            <w:pPr>
              <w:ind w:firstLine="0"/>
              <w:rPr>
                <w:szCs w:val="28"/>
              </w:rPr>
            </w:pPr>
            <w:r w:rsidRPr="00500B09">
              <w:rPr>
                <w:szCs w:val="28"/>
              </w:rPr>
              <w:t>Разрушающий метод</w:t>
            </w:r>
          </w:p>
        </w:tc>
      </w:tr>
      <w:tr w:rsidR="007413F5" w14:paraId="0D823723" w14:textId="77777777" w:rsidTr="003C46D1">
        <w:tc>
          <w:tcPr>
            <w:tcW w:w="562" w:type="dxa"/>
          </w:tcPr>
          <w:p w14:paraId="05130FC5" w14:textId="77777777" w:rsidR="007413F5" w:rsidRDefault="007413F5" w:rsidP="001F52DD">
            <w:pPr>
              <w:ind w:firstLine="0"/>
            </w:pPr>
            <w:r>
              <w:t>2)</w:t>
            </w:r>
          </w:p>
        </w:tc>
        <w:tc>
          <w:tcPr>
            <w:tcW w:w="4962" w:type="dxa"/>
          </w:tcPr>
          <w:p w14:paraId="4750B4A9" w14:textId="6597AB7D" w:rsidR="007413F5" w:rsidRPr="00FC02A6" w:rsidRDefault="00500B09" w:rsidP="001F52DD">
            <w:pPr>
              <w:ind w:firstLine="0"/>
              <w:rPr>
                <w:szCs w:val="28"/>
              </w:rPr>
            </w:pPr>
            <w:r w:rsidRPr="00500B09">
              <w:t>Испытание бетонного образца ультразвуком</w:t>
            </w:r>
          </w:p>
        </w:tc>
        <w:tc>
          <w:tcPr>
            <w:tcW w:w="567" w:type="dxa"/>
          </w:tcPr>
          <w:p w14:paraId="7E2F84CB" w14:textId="77777777" w:rsidR="007413F5" w:rsidRDefault="007413F5" w:rsidP="001F52DD">
            <w:pPr>
              <w:ind w:firstLine="0"/>
            </w:pPr>
            <w:r>
              <w:t>Б)</w:t>
            </w:r>
          </w:p>
        </w:tc>
        <w:tc>
          <w:tcPr>
            <w:tcW w:w="3536" w:type="dxa"/>
          </w:tcPr>
          <w:p w14:paraId="000651F1" w14:textId="3044FE87" w:rsidR="007413F5" w:rsidRPr="00FC02A6" w:rsidRDefault="00500B09" w:rsidP="007413F5">
            <w:pPr>
              <w:ind w:firstLine="0"/>
              <w:rPr>
                <w:szCs w:val="28"/>
              </w:rPr>
            </w:pPr>
            <w:r w:rsidRPr="00500B09">
              <w:rPr>
                <w:szCs w:val="28"/>
              </w:rPr>
              <w:t>Косвенный неразрушающий метод</w:t>
            </w:r>
          </w:p>
        </w:tc>
      </w:tr>
      <w:tr w:rsidR="007413F5" w14:paraId="4D00F893" w14:textId="77777777" w:rsidTr="003C46D1">
        <w:tc>
          <w:tcPr>
            <w:tcW w:w="562" w:type="dxa"/>
          </w:tcPr>
          <w:p w14:paraId="5789F01D" w14:textId="77777777" w:rsidR="007413F5" w:rsidRDefault="007413F5" w:rsidP="001F52DD">
            <w:pPr>
              <w:ind w:firstLine="0"/>
            </w:pPr>
            <w:r>
              <w:t>3)</w:t>
            </w:r>
          </w:p>
        </w:tc>
        <w:tc>
          <w:tcPr>
            <w:tcW w:w="4962" w:type="dxa"/>
          </w:tcPr>
          <w:p w14:paraId="61CD6B15" w14:textId="18924D4A" w:rsidR="007413F5" w:rsidRPr="00FC02A6" w:rsidRDefault="00500B09" w:rsidP="001F52DD">
            <w:pPr>
              <w:ind w:firstLine="0"/>
              <w:rPr>
                <w:szCs w:val="28"/>
              </w:rPr>
            </w:pPr>
            <w:r w:rsidRPr="00500B09">
              <w:t>Испытание бетонного образца на отрыв со скалыванием</w:t>
            </w:r>
          </w:p>
        </w:tc>
        <w:tc>
          <w:tcPr>
            <w:tcW w:w="567" w:type="dxa"/>
          </w:tcPr>
          <w:p w14:paraId="2091F77F" w14:textId="77777777" w:rsidR="007413F5" w:rsidRDefault="007413F5" w:rsidP="001F52DD">
            <w:pPr>
              <w:ind w:firstLine="0"/>
            </w:pPr>
            <w:r>
              <w:t>В)</w:t>
            </w:r>
          </w:p>
        </w:tc>
        <w:tc>
          <w:tcPr>
            <w:tcW w:w="3536" w:type="dxa"/>
          </w:tcPr>
          <w:p w14:paraId="1AD08813" w14:textId="70FEBC84" w:rsidR="007413F5" w:rsidRPr="00FC02A6" w:rsidRDefault="00500B09" w:rsidP="001F52DD">
            <w:pPr>
              <w:ind w:firstLine="0"/>
              <w:rPr>
                <w:szCs w:val="28"/>
              </w:rPr>
            </w:pPr>
            <w:r w:rsidRPr="00500B09">
              <w:rPr>
                <w:szCs w:val="28"/>
              </w:rPr>
              <w:t>Прямой неразрушающий метод</w:t>
            </w:r>
          </w:p>
        </w:tc>
      </w:tr>
    </w:tbl>
    <w:p w14:paraId="43AF867E" w14:textId="77777777" w:rsidR="00500B09" w:rsidRDefault="00500B09" w:rsidP="007413F5"/>
    <w:p w14:paraId="2668BE5F" w14:textId="3FC770CE" w:rsidR="007413F5" w:rsidRDefault="007413F5" w:rsidP="007413F5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00B09" w14:paraId="0C05E983" w14:textId="77777777" w:rsidTr="001F52DD">
        <w:tc>
          <w:tcPr>
            <w:tcW w:w="2406" w:type="dxa"/>
          </w:tcPr>
          <w:p w14:paraId="1B5BFC22" w14:textId="77777777" w:rsidR="00500B09" w:rsidRPr="00DB7C34" w:rsidRDefault="00500B09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2E471FA" w14:textId="77777777" w:rsidR="00500B09" w:rsidRPr="00DB7C34" w:rsidRDefault="00500B09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F5648F" w14:textId="77777777" w:rsidR="00500B09" w:rsidRPr="00DB7C34" w:rsidRDefault="00500B09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00B09" w14:paraId="7B3ADFCC" w14:textId="77777777" w:rsidTr="001F52DD">
        <w:tc>
          <w:tcPr>
            <w:tcW w:w="2406" w:type="dxa"/>
          </w:tcPr>
          <w:p w14:paraId="59DBF605" w14:textId="73DB7178" w:rsidR="00500B09" w:rsidRPr="00DB7C34" w:rsidRDefault="0029256C" w:rsidP="001F5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679F6D4" w14:textId="77777777" w:rsidR="00500B09" w:rsidRDefault="00500B09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FF1B20" w14:textId="545C4ED4" w:rsidR="00500B09" w:rsidRDefault="0029256C" w:rsidP="001F52DD">
            <w:pPr>
              <w:ind w:firstLine="0"/>
              <w:jc w:val="center"/>
            </w:pPr>
            <w:r>
              <w:t>В</w:t>
            </w:r>
          </w:p>
        </w:tc>
      </w:tr>
    </w:tbl>
    <w:p w14:paraId="1CA8958A" w14:textId="28FBD4C1" w:rsidR="007413F5" w:rsidRDefault="007413F5" w:rsidP="007413F5">
      <w:r>
        <w:t>Компетенции (индикаторы): ПК-</w:t>
      </w:r>
      <w:r w:rsidR="00500B09">
        <w:t>1</w:t>
      </w:r>
    </w:p>
    <w:p w14:paraId="701270F9" w14:textId="5377E0B1" w:rsidR="00AD7916" w:rsidRDefault="00AD7916" w:rsidP="00AD7916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44721278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F576EB" w:rsidRPr="00F576EB">
        <w:t>при обследовании строительных конструкций</w:t>
      </w:r>
      <w:r>
        <w:t>:</w:t>
      </w:r>
    </w:p>
    <w:p w14:paraId="29139A9E" w14:textId="729104FC" w:rsidR="008C5189" w:rsidRPr="008C5189" w:rsidRDefault="00C75AF4" w:rsidP="00F576EB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3C46D1">
        <w:rPr>
          <w:rFonts w:eastAsiaTheme="minorEastAsia"/>
        </w:rPr>
        <w:t xml:space="preserve"> </w:t>
      </w:r>
      <w:r w:rsidR="00624F29">
        <w:rPr>
          <w:rFonts w:eastAsiaTheme="minorEastAsia"/>
        </w:rPr>
        <w:t>П</w:t>
      </w:r>
      <w:r w:rsidR="00F576EB" w:rsidRPr="00F576EB">
        <w:rPr>
          <w:rFonts w:eastAsiaTheme="minorEastAsia"/>
        </w:rPr>
        <w:t>ервоначальное ознакомление с проектной документацией, рабочими и</w:t>
      </w:r>
      <w:r w:rsidR="00F576EB">
        <w:rPr>
          <w:rFonts w:eastAsiaTheme="minorEastAsia"/>
        </w:rPr>
        <w:t xml:space="preserve"> </w:t>
      </w:r>
      <w:r w:rsidR="00F576EB" w:rsidRPr="00F576EB">
        <w:rPr>
          <w:rFonts w:eastAsiaTheme="minorEastAsia"/>
        </w:rPr>
        <w:t>исполнительными чертежами, актами на скрытые работы</w:t>
      </w:r>
      <w:r w:rsidR="00F576EB">
        <w:rPr>
          <w:rFonts w:eastAsiaTheme="minorEastAsia"/>
        </w:rPr>
        <w:t>.</w:t>
      </w:r>
    </w:p>
    <w:p w14:paraId="701F6A40" w14:textId="029F320E" w:rsidR="008C5189" w:rsidRPr="008C5189" w:rsidRDefault="008C5189" w:rsidP="008C5189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="003C46D1">
        <w:rPr>
          <w:rFonts w:eastAsiaTheme="minorEastAsia"/>
        </w:rPr>
        <w:t xml:space="preserve"> </w:t>
      </w:r>
      <w:r w:rsidR="00624F29">
        <w:rPr>
          <w:rFonts w:eastAsiaTheme="minorEastAsia"/>
        </w:rPr>
        <w:t>В</w:t>
      </w:r>
      <w:r w:rsidR="00F576EB" w:rsidRPr="00F576EB">
        <w:rPr>
          <w:rFonts w:eastAsiaTheme="minorEastAsia"/>
        </w:rPr>
        <w:t>изуальный осмотр объекта, установление соответствия объекта проекту, выявление видимых дефектов, составление плана обследования сооружения, проведение комплекса исследований неразрушающими методами</w:t>
      </w:r>
      <w:r w:rsidR="00F576EB">
        <w:rPr>
          <w:rFonts w:eastAsiaTheme="minorEastAsia"/>
        </w:rPr>
        <w:t>.</w:t>
      </w:r>
    </w:p>
    <w:p w14:paraId="003C04B4" w14:textId="08E34AC6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В</w:t>
      </w:r>
      <w:r w:rsidRPr="00C75AF4">
        <w:rPr>
          <w:rFonts w:eastAsiaTheme="minorEastAsia"/>
        </w:rPr>
        <w:t>)</w:t>
      </w:r>
      <w:r w:rsidR="003C46D1">
        <w:rPr>
          <w:rFonts w:eastAsiaTheme="minorEastAsia"/>
        </w:rPr>
        <w:t xml:space="preserve"> </w:t>
      </w:r>
      <w:r w:rsidR="00F576EB">
        <w:rPr>
          <w:rFonts w:eastAsiaTheme="minorEastAsia"/>
        </w:rPr>
        <w:t>А</w:t>
      </w:r>
      <w:r w:rsidR="00F576EB" w:rsidRPr="00F576EB">
        <w:rPr>
          <w:rFonts w:eastAsiaTheme="minorEastAsia"/>
        </w:rPr>
        <w:t>нализ состояния сооружения и разработка рекомендаций по устранению выявленных дефектов</w:t>
      </w:r>
      <w:r w:rsidR="00F576EB">
        <w:rPr>
          <w:rFonts w:eastAsiaTheme="minorEastAsia"/>
        </w:rPr>
        <w:t>.</w:t>
      </w:r>
    </w:p>
    <w:p w14:paraId="0404DA71" w14:textId="7F40CDBF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</w:p>
    <w:p w14:paraId="493CE529" w14:textId="6AB50369" w:rsidR="00BB2661" w:rsidRDefault="00BB2661" w:rsidP="00BB2661">
      <w:r>
        <w:t>Компетенции (индикаторы):</w:t>
      </w:r>
      <w:r w:rsidR="00C75AF4">
        <w:t xml:space="preserve"> ПК-</w:t>
      </w:r>
      <w:r w:rsidR="00F576EB">
        <w:t>1</w:t>
      </w:r>
    </w:p>
    <w:p w14:paraId="0BD1ECB0" w14:textId="77777777" w:rsidR="00BB2661" w:rsidRPr="00BB2661" w:rsidRDefault="00BB2661" w:rsidP="00BB2661"/>
    <w:p w14:paraId="17533FCF" w14:textId="3A15BF15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</w:t>
      </w:r>
      <w:r w:rsidR="008C5189" w:rsidRPr="008C5189">
        <w:t xml:space="preserve">операций </w:t>
      </w:r>
      <w:r w:rsidR="00F576EB">
        <w:t>п</w:t>
      </w:r>
      <w:r w:rsidR="00F576EB" w:rsidRPr="00F576EB">
        <w:t>ри визуальном осмотре здания</w:t>
      </w:r>
      <w:r>
        <w:t>:</w:t>
      </w:r>
    </w:p>
    <w:p w14:paraId="4EB6A898" w14:textId="3FA11C40" w:rsidR="008C5189" w:rsidRPr="008C5189" w:rsidRDefault="00C75AF4" w:rsidP="008C5189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3C46D1">
        <w:rPr>
          <w:rFonts w:eastAsiaTheme="minorEastAsia"/>
        </w:rPr>
        <w:t xml:space="preserve"> </w:t>
      </w:r>
      <w:r w:rsidR="00624F29" w:rsidRPr="00624F29">
        <w:rPr>
          <w:rFonts w:eastAsiaTheme="minorEastAsia"/>
        </w:rPr>
        <w:t>Снятие замеров по несущим конструкциям и перегородкам</w:t>
      </w:r>
      <w:r w:rsidR="00624F29">
        <w:rPr>
          <w:rFonts w:eastAsiaTheme="minorEastAsia"/>
        </w:rPr>
        <w:t>.</w:t>
      </w:r>
    </w:p>
    <w:p w14:paraId="506EB366" w14:textId="10BE1D53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Б</w:t>
      </w:r>
      <w:r w:rsidRPr="00C75AF4">
        <w:rPr>
          <w:rFonts w:eastAsiaTheme="minorEastAsia"/>
        </w:rPr>
        <w:t>)</w:t>
      </w:r>
      <w:r w:rsidR="003C46D1">
        <w:rPr>
          <w:rFonts w:eastAsiaTheme="minorEastAsia"/>
        </w:rPr>
        <w:t xml:space="preserve"> </w:t>
      </w:r>
      <w:r w:rsidR="00624F29" w:rsidRPr="00624F29">
        <w:rPr>
          <w:rFonts w:eastAsiaTheme="minorEastAsia"/>
        </w:rPr>
        <w:t>Фотофиксация дефектов</w:t>
      </w:r>
      <w:r w:rsidR="00624F29">
        <w:rPr>
          <w:rFonts w:eastAsiaTheme="minorEastAsia"/>
        </w:rPr>
        <w:t>.</w:t>
      </w:r>
    </w:p>
    <w:p w14:paraId="41E52446" w14:textId="5528CB80" w:rsidR="008C5189" w:rsidRPr="008C5189" w:rsidRDefault="008C5189" w:rsidP="008C5189">
      <w:pPr>
        <w:rPr>
          <w:rFonts w:eastAsiaTheme="minorEastAsia"/>
        </w:rPr>
      </w:pPr>
      <w:r>
        <w:rPr>
          <w:rFonts w:eastAsiaTheme="minorEastAsia"/>
        </w:rPr>
        <w:t>В</w:t>
      </w:r>
      <w:r w:rsidRPr="00C75AF4">
        <w:rPr>
          <w:rFonts w:eastAsiaTheme="minorEastAsia"/>
        </w:rPr>
        <w:t>)</w:t>
      </w:r>
      <w:r w:rsidR="003C46D1">
        <w:rPr>
          <w:rFonts w:eastAsiaTheme="minorEastAsia"/>
        </w:rPr>
        <w:t xml:space="preserve"> </w:t>
      </w:r>
      <w:r w:rsidR="00624F29" w:rsidRPr="00624F29">
        <w:rPr>
          <w:rFonts w:eastAsiaTheme="minorEastAsia"/>
        </w:rPr>
        <w:t>Составление чертежей фасадов и поэтажных планов</w:t>
      </w:r>
      <w:r w:rsidR="00624F29">
        <w:rPr>
          <w:rFonts w:eastAsiaTheme="minorEastAsia"/>
        </w:rPr>
        <w:t>.</w:t>
      </w:r>
    </w:p>
    <w:p w14:paraId="0596E006" w14:textId="27F85916" w:rsidR="00C75AF4" w:rsidRPr="00C75AF4" w:rsidRDefault="008C5189" w:rsidP="008C5189">
      <w:pPr>
        <w:rPr>
          <w:rFonts w:eastAsiaTheme="minorEastAsia"/>
        </w:rPr>
      </w:pPr>
      <w:r>
        <w:rPr>
          <w:rFonts w:eastAsiaTheme="minorEastAsia"/>
        </w:rPr>
        <w:t>Г</w:t>
      </w:r>
      <w:r w:rsidRPr="00C75AF4">
        <w:rPr>
          <w:rFonts w:eastAsiaTheme="minorEastAsia"/>
        </w:rPr>
        <w:t>)</w:t>
      </w:r>
      <w:r w:rsidR="003C46D1">
        <w:rPr>
          <w:rFonts w:eastAsiaTheme="minorEastAsia"/>
        </w:rPr>
        <w:t xml:space="preserve"> </w:t>
      </w:r>
      <w:r w:rsidR="00624F29" w:rsidRPr="00624F29">
        <w:rPr>
          <w:rFonts w:eastAsiaTheme="minorEastAsia"/>
        </w:rPr>
        <w:t>Составление дефектной ведомости</w:t>
      </w:r>
      <w:r w:rsidR="00624F29">
        <w:rPr>
          <w:rFonts w:eastAsiaTheme="minorEastAsia"/>
        </w:rPr>
        <w:t>.</w:t>
      </w:r>
    </w:p>
    <w:p w14:paraId="567D76DF" w14:textId="78690CFA" w:rsidR="00C75AF4" w:rsidRDefault="008C5189" w:rsidP="00C75AF4">
      <w:pPr>
        <w:rPr>
          <w:rFonts w:eastAsiaTheme="minorEastAsia"/>
        </w:rPr>
      </w:pPr>
      <w:r>
        <w:rPr>
          <w:rFonts w:eastAsiaTheme="minorEastAsia"/>
        </w:rPr>
        <w:t>Д</w:t>
      </w:r>
      <w:r w:rsidR="00C75AF4" w:rsidRPr="00C75AF4">
        <w:rPr>
          <w:rFonts w:eastAsiaTheme="minorEastAsia"/>
        </w:rPr>
        <w:t>)</w:t>
      </w:r>
      <w:r w:rsidR="003C46D1">
        <w:rPr>
          <w:rFonts w:eastAsiaTheme="minorEastAsia"/>
        </w:rPr>
        <w:t xml:space="preserve"> </w:t>
      </w:r>
      <w:r w:rsidR="00624F29">
        <w:rPr>
          <w:rFonts w:eastAsiaTheme="minorEastAsia"/>
        </w:rPr>
        <w:t>С</w:t>
      </w:r>
      <w:r w:rsidR="00624F29" w:rsidRPr="00624F29">
        <w:rPr>
          <w:rFonts w:eastAsiaTheme="minorEastAsia"/>
        </w:rPr>
        <w:t>оставление технического заключения</w:t>
      </w:r>
      <w:r w:rsidR="00624F29">
        <w:rPr>
          <w:rFonts w:eastAsiaTheme="minorEastAsia"/>
        </w:rPr>
        <w:t>.</w:t>
      </w:r>
    </w:p>
    <w:p w14:paraId="0147433F" w14:textId="47F5533B" w:rsidR="00640F75" w:rsidRDefault="00640F75" w:rsidP="00C75AF4">
      <w:r>
        <w:t xml:space="preserve">Правильный ответ: </w:t>
      </w:r>
      <w:r w:rsidR="00C75AF4">
        <w:t>А, Б, В, Г, Д</w:t>
      </w:r>
    </w:p>
    <w:p w14:paraId="25EB773E" w14:textId="5CC3BD4D" w:rsidR="00640F75" w:rsidRDefault="00640F75" w:rsidP="00640F75">
      <w:r>
        <w:t>Компетенции (индикаторы):</w:t>
      </w:r>
      <w:r w:rsidR="00C75AF4">
        <w:t xml:space="preserve"> ПК-</w:t>
      </w:r>
      <w:r w:rsidR="00F576EB">
        <w:t>1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366F71E3" w14:textId="527DB90F" w:rsidR="00795312" w:rsidRDefault="00624F29" w:rsidP="00D874BB">
      <w:r w:rsidRPr="00624F29">
        <w:t xml:space="preserve">Для измерения относительных деформаций используют </w:t>
      </w:r>
      <w:r w:rsidR="00795312" w:rsidRPr="00795312">
        <w:t>___________</w:t>
      </w:r>
      <w:r w:rsidR="00795312">
        <w:t>.</w:t>
      </w:r>
    </w:p>
    <w:p w14:paraId="22D64992" w14:textId="0634666B" w:rsidR="00D874BB" w:rsidRPr="00D874BB" w:rsidRDefault="00D874BB" w:rsidP="00D874BB">
      <w:r>
        <w:t xml:space="preserve">Правильный ответ: </w:t>
      </w:r>
      <w:r w:rsidR="00624F29">
        <w:t>датчики</w:t>
      </w:r>
      <w:r>
        <w:t>.</w:t>
      </w:r>
    </w:p>
    <w:p w14:paraId="243E0F9C" w14:textId="5E8BC508" w:rsidR="00D874BB" w:rsidRDefault="00D874BB" w:rsidP="00D874BB">
      <w:r>
        <w:t>Компетенции (индикаторы):</w:t>
      </w:r>
      <w:r w:rsidR="00C75AF4">
        <w:t xml:space="preserve"> ОПК-</w:t>
      </w:r>
      <w:r w:rsidR="00624F29">
        <w:t>6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74FA0BBA" w14:textId="001DE2F6" w:rsidR="00795312" w:rsidRDefault="0099103C" w:rsidP="00D169A3">
      <w:r w:rsidRPr="0099103C">
        <w:t xml:space="preserve">Под расчётным сроком службы строительного объекта понимают время использования объекта до капитального ремонта </w:t>
      </w:r>
      <w:r>
        <w:t xml:space="preserve">или </w:t>
      </w:r>
      <w:r w:rsidR="00795312" w:rsidRPr="00795312">
        <w:t>______</w:t>
      </w:r>
      <w:r w:rsidR="00795312">
        <w:t>_______.</w:t>
      </w:r>
    </w:p>
    <w:p w14:paraId="606220A8" w14:textId="5892B83A" w:rsidR="00D169A3" w:rsidRPr="00D874BB" w:rsidRDefault="00D169A3" w:rsidP="00D169A3">
      <w:r>
        <w:t xml:space="preserve">Правильный ответ: </w:t>
      </w:r>
      <w:r w:rsidR="00DB5981">
        <w:t>р</w:t>
      </w:r>
      <w:r w:rsidR="0099103C">
        <w:t>еконструкции</w:t>
      </w:r>
      <w:r>
        <w:t>.</w:t>
      </w:r>
    </w:p>
    <w:p w14:paraId="2F8BC465" w14:textId="7123DD83" w:rsidR="00D169A3" w:rsidRDefault="00D169A3" w:rsidP="00D169A3">
      <w:r>
        <w:t>Компетенции (индикаторы):</w:t>
      </w:r>
      <w:r w:rsidR="00C75AF4">
        <w:t xml:space="preserve"> ОПК-</w:t>
      </w:r>
      <w:r w:rsidR="00DB5981">
        <w:t>6</w:t>
      </w:r>
    </w:p>
    <w:p w14:paraId="07F5CCD3" w14:textId="77777777" w:rsidR="003C46D1" w:rsidRDefault="003C46D1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17D1B490" w:rsidR="0050337A" w:rsidRDefault="0050337A" w:rsidP="006047A2">
      <w:r>
        <w:lastRenderedPageBreak/>
        <w:t xml:space="preserve">1. </w:t>
      </w:r>
      <w:r w:rsidR="00C96EBC" w:rsidRPr="00C96EBC">
        <w:t>Дефект строительной конструкции — это отклонение фактического состояния от проектного вследствие</w:t>
      </w:r>
      <w:r w:rsidR="00F14B44">
        <w:t xml:space="preserve"> _____________.</w:t>
      </w:r>
    </w:p>
    <w:p w14:paraId="669ECED8" w14:textId="1A7A42DA" w:rsidR="0050337A" w:rsidRPr="00D874BB" w:rsidRDefault="0050337A" w:rsidP="0050337A">
      <w:r>
        <w:t xml:space="preserve">Правильный ответ: </w:t>
      </w:r>
      <w:r w:rsidR="00C96EBC">
        <w:t>н</w:t>
      </w:r>
      <w:r w:rsidR="00C96EBC" w:rsidRPr="00C96EBC">
        <w:t>арушения правил производства работ</w:t>
      </w:r>
      <w:r w:rsidR="00FE4B02">
        <w:t>.</w:t>
      </w:r>
    </w:p>
    <w:p w14:paraId="7572326C" w14:textId="6FD3E4F7" w:rsidR="0050337A" w:rsidRDefault="0050337A" w:rsidP="0050337A">
      <w:r>
        <w:t>Компетенции (индикаторы):</w:t>
      </w:r>
      <w:r w:rsidR="00FE4B02">
        <w:t xml:space="preserve"> ПК-</w:t>
      </w:r>
      <w:r w:rsidR="00DB5981">
        <w:t>1</w:t>
      </w:r>
    </w:p>
    <w:p w14:paraId="39054009" w14:textId="570A7BC3" w:rsidR="0050337A" w:rsidRDefault="0050337A" w:rsidP="0050337A"/>
    <w:p w14:paraId="1676094E" w14:textId="25EFE09B" w:rsidR="006047A2" w:rsidRDefault="006047A2" w:rsidP="006047A2">
      <w:r w:rsidRPr="006047A2">
        <w:t>2</w:t>
      </w:r>
      <w:r>
        <w:t xml:space="preserve">. </w:t>
      </w:r>
      <w:r w:rsidR="00C96EBC" w:rsidRPr="00C96EBC">
        <w:t>Сроком службы строительного объекта считают</w:t>
      </w:r>
      <w:r w:rsidR="00C96EBC">
        <w:t>____________</w:t>
      </w:r>
      <w:r w:rsidR="00F14B44" w:rsidRPr="00F14B44">
        <w:t>.</w:t>
      </w:r>
    </w:p>
    <w:p w14:paraId="494FBACB" w14:textId="5266C115" w:rsidR="006047A2" w:rsidRPr="00D874BB" w:rsidRDefault="006047A2" w:rsidP="006047A2">
      <w:r>
        <w:t xml:space="preserve">Правильный ответ: </w:t>
      </w:r>
      <w:r w:rsidR="00C96EBC">
        <w:t>п</w:t>
      </w:r>
      <w:r w:rsidR="00C96EBC" w:rsidRPr="00C96EBC">
        <w:t>родолжительность эксплуатации до состояния, когда дальнейшая эксплуатация объекта не допустима</w:t>
      </w:r>
      <w:r w:rsidR="00FE4B02">
        <w:t>.</w:t>
      </w:r>
    </w:p>
    <w:p w14:paraId="12BDE633" w14:textId="2B3A2E97" w:rsidR="006047A2" w:rsidRDefault="006047A2" w:rsidP="006047A2">
      <w:r>
        <w:t>Компетенции (индикаторы):</w:t>
      </w:r>
      <w:r w:rsidR="00FE4B02">
        <w:t xml:space="preserve"> ПК-</w:t>
      </w:r>
      <w:r w:rsidR="00DB5981">
        <w:t>1</w:t>
      </w:r>
    </w:p>
    <w:p w14:paraId="0C036412" w14:textId="7922BF68" w:rsidR="00F14B44" w:rsidRDefault="00F14B44" w:rsidP="006047A2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5FAB6E32" w:rsidR="00F51BB9" w:rsidRDefault="00F51BB9" w:rsidP="00F51BB9">
      <w:r w:rsidRPr="00F51BB9">
        <w:t>1</w:t>
      </w:r>
      <w:r>
        <w:t xml:space="preserve">. </w:t>
      </w:r>
      <w:r w:rsidR="00C96EBC">
        <w:t>Определение п</w:t>
      </w:r>
      <w:r w:rsidR="00C96EBC" w:rsidRPr="00C96EBC">
        <w:t>редельно</w:t>
      </w:r>
      <w:r w:rsidR="00C96EBC">
        <w:t>го</w:t>
      </w:r>
      <w:r w:rsidR="00C96EBC" w:rsidRPr="00C96EBC">
        <w:t xml:space="preserve"> состояни</w:t>
      </w:r>
      <w:r w:rsidR="00C96EBC">
        <w:t>я</w:t>
      </w:r>
      <w:r w:rsidR="00857919">
        <w:t xml:space="preserve">. </w:t>
      </w:r>
      <w:r w:rsidR="00857919" w:rsidRPr="00857919">
        <w:t>Виды предельных состояний</w:t>
      </w:r>
      <w:r w:rsidR="00857919">
        <w:t xml:space="preserve"> конструкций:</w:t>
      </w:r>
    </w:p>
    <w:p w14:paraId="5EB8647E" w14:textId="0E3C39F9" w:rsidR="00F51BB9" w:rsidRDefault="00F51BB9" w:rsidP="00F51BB9">
      <w:r>
        <w:t xml:space="preserve">Время выполнения – </w:t>
      </w:r>
      <w:r w:rsidR="00FE4B02">
        <w:t>1</w:t>
      </w:r>
      <w:r w:rsidR="00761410">
        <w:t>5</w:t>
      </w:r>
      <w:r>
        <w:t xml:space="preserve"> мин.</w:t>
      </w:r>
    </w:p>
    <w:p w14:paraId="00D7CA86" w14:textId="1D5BB0C9" w:rsidR="00903474" w:rsidRDefault="00FC4F32" w:rsidP="00903474">
      <w:r w:rsidRPr="00FC4F32">
        <w:t>Ожидаемый результат:</w:t>
      </w:r>
      <w:r w:rsidR="00FE4B02">
        <w:t xml:space="preserve"> </w:t>
      </w:r>
      <w:r w:rsidR="00857919" w:rsidRPr="00857919">
        <w:t>Предельное состояние конструкций — состояние, при котором конструкция перестаёт удовлетворять эксплуатационным требованиям, то есть либо теряет способность сопротивляться внешним воздействиям, либо получает недопустимую деформацию или местное повреждение. Дальнейшая эксплуатация такой конструкции недопустима или нецелесообразна</w:t>
      </w:r>
      <w:r w:rsidR="00903474">
        <w:t>.</w:t>
      </w:r>
    </w:p>
    <w:p w14:paraId="7D458D74" w14:textId="08EAE1A1" w:rsidR="00857919" w:rsidRDefault="00857919" w:rsidP="00857919">
      <w:r>
        <w:t>Виды предельных состояний конструкций по степени возможных последствий:</w:t>
      </w:r>
    </w:p>
    <w:p w14:paraId="5BFA7807" w14:textId="73E2CAFA" w:rsidR="00857919" w:rsidRDefault="00857919" w:rsidP="00857919">
      <w:r>
        <w:t xml:space="preserve">– Первая группа. Состояния, при которых происходит исчерпание несущей способности (прочность, устойчивость или выносливость) сооружений при соответствующих комбинациях нагрузок. Могут сопровождаться разрушениями любого вида (вязкое, усталостное, хрупкое), превращением системы в механизм, образованием трещин, цепи пластических шарниров и </w:t>
      </w:r>
      <w:proofErr w:type="gramStart"/>
      <w:r>
        <w:t>др..</w:t>
      </w:r>
      <w:proofErr w:type="gramEnd"/>
    </w:p>
    <w:p w14:paraId="23EB393E" w14:textId="6665A65C" w:rsidR="00851238" w:rsidRDefault="00857919" w:rsidP="00857919">
      <w:r>
        <w:t>– Вторая группа. Состояния, при которых нарушается нормальная эксплуатация сооружений или исчерпывается ресурс их долговечности вследствие появления недопустимых деформаций, колебаний и иных нарушений, требующих временной приостановки эксплуатации сооружения и выполнения его ремонта</w:t>
      </w:r>
      <w:r w:rsidR="00FE4B02">
        <w:t>.</w:t>
      </w:r>
    </w:p>
    <w:p w14:paraId="5BC25C01" w14:textId="776F2356" w:rsidR="00761410" w:rsidRDefault="00666BE1" w:rsidP="00666BE1">
      <w:r>
        <w:t>Критерии оценивания:</w:t>
      </w:r>
      <w:r w:rsidR="00761410">
        <w:t xml:space="preserve"> </w:t>
      </w:r>
    </w:p>
    <w:p w14:paraId="67469998" w14:textId="0D11CE6D" w:rsidR="00B03A77" w:rsidRDefault="00B03A77" w:rsidP="00B03A77">
      <w:r>
        <w:t>– наличие в ответе содержательной единицы «</w:t>
      </w:r>
      <w:r w:rsidRPr="00B03A77">
        <w:t>состояние, при котором конструкция перестаёт удовлетворять эксплуатационным требованиям</w:t>
      </w:r>
      <w:r>
        <w:t>»;</w:t>
      </w:r>
    </w:p>
    <w:p w14:paraId="3AB88017" w14:textId="7A4259E6" w:rsidR="00B03A77" w:rsidRDefault="00B03A77" w:rsidP="00B03A77">
      <w:r>
        <w:t>– наличие в ответе двух компонентов: «п</w:t>
      </w:r>
      <w:r w:rsidRPr="00B03A77">
        <w:t>ервая группа</w:t>
      </w:r>
      <w:r>
        <w:t xml:space="preserve"> предельных состояний» «в</w:t>
      </w:r>
      <w:r w:rsidRPr="00B03A77">
        <w:t>торая группа</w:t>
      </w:r>
      <w:r>
        <w:t xml:space="preserve"> предельных состояний».</w:t>
      </w:r>
    </w:p>
    <w:p w14:paraId="0DE99181" w14:textId="08BCF419" w:rsidR="00840510" w:rsidRDefault="00F51BB9" w:rsidP="00F51BB9">
      <w:r>
        <w:t>Компетенции (индикаторы):</w:t>
      </w:r>
      <w:r w:rsidR="00FE4B02">
        <w:t xml:space="preserve"> ПК-</w:t>
      </w:r>
      <w:r w:rsidR="00DB5981">
        <w:t>1</w:t>
      </w:r>
    </w:p>
    <w:p w14:paraId="268B1ED7" w14:textId="422AF3AC" w:rsidR="00F51BB9" w:rsidRDefault="00F51BB9" w:rsidP="00F51BB9"/>
    <w:sectPr w:rsidR="00F51BB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4ACA" w14:textId="77777777" w:rsidR="00B16E05" w:rsidRDefault="00B16E05" w:rsidP="006943A0">
      <w:r>
        <w:separator/>
      </w:r>
    </w:p>
  </w:endnote>
  <w:endnote w:type="continuationSeparator" w:id="0">
    <w:p w14:paraId="4D2139D7" w14:textId="77777777" w:rsidR="00B16E05" w:rsidRDefault="00B16E0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2900" w14:textId="77777777" w:rsidR="00B16E05" w:rsidRDefault="00B16E05" w:rsidP="006943A0">
      <w:r>
        <w:separator/>
      </w:r>
    </w:p>
  </w:footnote>
  <w:footnote w:type="continuationSeparator" w:id="0">
    <w:p w14:paraId="1F5C6F44" w14:textId="77777777" w:rsidR="00B16E05" w:rsidRDefault="00B16E0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558EB"/>
    <w:rsid w:val="0006311A"/>
    <w:rsid w:val="00080CA9"/>
    <w:rsid w:val="00095C56"/>
    <w:rsid w:val="000A7ADF"/>
    <w:rsid w:val="000D01B5"/>
    <w:rsid w:val="001057D6"/>
    <w:rsid w:val="00172F27"/>
    <w:rsid w:val="001824D3"/>
    <w:rsid w:val="00191CF7"/>
    <w:rsid w:val="001C3A9C"/>
    <w:rsid w:val="001E57E3"/>
    <w:rsid w:val="002103A3"/>
    <w:rsid w:val="0023607F"/>
    <w:rsid w:val="00271063"/>
    <w:rsid w:val="0029256C"/>
    <w:rsid w:val="002A0645"/>
    <w:rsid w:val="002A35C6"/>
    <w:rsid w:val="002B3406"/>
    <w:rsid w:val="002C4C2C"/>
    <w:rsid w:val="002D4C13"/>
    <w:rsid w:val="002D532D"/>
    <w:rsid w:val="002F20EB"/>
    <w:rsid w:val="002F47FF"/>
    <w:rsid w:val="00347C37"/>
    <w:rsid w:val="00377C2B"/>
    <w:rsid w:val="003C46D1"/>
    <w:rsid w:val="004075F9"/>
    <w:rsid w:val="00432D00"/>
    <w:rsid w:val="00433296"/>
    <w:rsid w:val="00461D7F"/>
    <w:rsid w:val="0046213D"/>
    <w:rsid w:val="00470BF5"/>
    <w:rsid w:val="004951B7"/>
    <w:rsid w:val="00495EDC"/>
    <w:rsid w:val="004A6607"/>
    <w:rsid w:val="004B3718"/>
    <w:rsid w:val="004F6F03"/>
    <w:rsid w:val="00500B09"/>
    <w:rsid w:val="0050337A"/>
    <w:rsid w:val="0052738E"/>
    <w:rsid w:val="00531429"/>
    <w:rsid w:val="005411D4"/>
    <w:rsid w:val="00542091"/>
    <w:rsid w:val="00550EF7"/>
    <w:rsid w:val="00580A9C"/>
    <w:rsid w:val="005D53BF"/>
    <w:rsid w:val="005E321A"/>
    <w:rsid w:val="005E3FC2"/>
    <w:rsid w:val="005E7F90"/>
    <w:rsid w:val="006047A2"/>
    <w:rsid w:val="006077E3"/>
    <w:rsid w:val="0061078C"/>
    <w:rsid w:val="00617CF3"/>
    <w:rsid w:val="006224C5"/>
    <w:rsid w:val="00624F29"/>
    <w:rsid w:val="00640F75"/>
    <w:rsid w:val="00651072"/>
    <w:rsid w:val="0066178B"/>
    <w:rsid w:val="00666BE1"/>
    <w:rsid w:val="006943A0"/>
    <w:rsid w:val="006D536F"/>
    <w:rsid w:val="00721A69"/>
    <w:rsid w:val="00736951"/>
    <w:rsid w:val="007413F5"/>
    <w:rsid w:val="00761410"/>
    <w:rsid w:val="00776854"/>
    <w:rsid w:val="00776893"/>
    <w:rsid w:val="00795312"/>
    <w:rsid w:val="00800063"/>
    <w:rsid w:val="008159DB"/>
    <w:rsid w:val="00840510"/>
    <w:rsid w:val="00851238"/>
    <w:rsid w:val="00857919"/>
    <w:rsid w:val="00874B3E"/>
    <w:rsid w:val="008C1727"/>
    <w:rsid w:val="008C5189"/>
    <w:rsid w:val="008C74E9"/>
    <w:rsid w:val="008D77C8"/>
    <w:rsid w:val="008E2DDD"/>
    <w:rsid w:val="008E4E47"/>
    <w:rsid w:val="00903474"/>
    <w:rsid w:val="0091443C"/>
    <w:rsid w:val="0092015D"/>
    <w:rsid w:val="0095688A"/>
    <w:rsid w:val="00983C9A"/>
    <w:rsid w:val="0099103C"/>
    <w:rsid w:val="009A066D"/>
    <w:rsid w:val="009B6C90"/>
    <w:rsid w:val="009D6286"/>
    <w:rsid w:val="009F513D"/>
    <w:rsid w:val="009F744D"/>
    <w:rsid w:val="00A00792"/>
    <w:rsid w:val="00A0440D"/>
    <w:rsid w:val="00A07227"/>
    <w:rsid w:val="00A3057A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03A77"/>
    <w:rsid w:val="00B16E05"/>
    <w:rsid w:val="00B26C36"/>
    <w:rsid w:val="00B30A5F"/>
    <w:rsid w:val="00B5777E"/>
    <w:rsid w:val="00B60BB6"/>
    <w:rsid w:val="00B65645"/>
    <w:rsid w:val="00B7649F"/>
    <w:rsid w:val="00B8375F"/>
    <w:rsid w:val="00BB2661"/>
    <w:rsid w:val="00BB4E23"/>
    <w:rsid w:val="00BD0D49"/>
    <w:rsid w:val="00BD5CF0"/>
    <w:rsid w:val="00C426D2"/>
    <w:rsid w:val="00C446EB"/>
    <w:rsid w:val="00C70737"/>
    <w:rsid w:val="00C74995"/>
    <w:rsid w:val="00C75AF4"/>
    <w:rsid w:val="00C87CED"/>
    <w:rsid w:val="00C96EBC"/>
    <w:rsid w:val="00CF300E"/>
    <w:rsid w:val="00D05BBC"/>
    <w:rsid w:val="00D15280"/>
    <w:rsid w:val="00D169A3"/>
    <w:rsid w:val="00D2066F"/>
    <w:rsid w:val="00D726DB"/>
    <w:rsid w:val="00D8238A"/>
    <w:rsid w:val="00D874BB"/>
    <w:rsid w:val="00DB5981"/>
    <w:rsid w:val="00DB7C34"/>
    <w:rsid w:val="00DE1E8E"/>
    <w:rsid w:val="00E20755"/>
    <w:rsid w:val="00E324AA"/>
    <w:rsid w:val="00E37DC0"/>
    <w:rsid w:val="00E5431F"/>
    <w:rsid w:val="00E65761"/>
    <w:rsid w:val="00ED02A2"/>
    <w:rsid w:val="00ED7E7B"/>
    <w:rsid w:val="00EE5F03"/>
    <w:rsid w:val="00F11FDA"/>
    <w:rsid w:val="00F12E82"/>
    <w:rsid w:val="00F14B44"/>
    <w:rsid w:val="00F27B2F"/>
    <w:rsid w:val="00F3589D"/>
    <w:rsid w:val="00F41C91"/>
    <w:rsid w:val="00F51BB9"/>
    <w:rsid w:val="00F56671"/>
    <w:rsid w:val="00F576EB"/>
    <w:rsid w:val="00F60621"/>
    <w:rsid w:val="00F71CF7"/>
    <w:rsid w:val="00F71F6A"/>
    <w:rsid w:val="00FA5BC1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4</cp:revision>
  <dcterms:created xsi:type="dcterms:W3CDTF">2025-03-15T07:18:00Z</dcterms:created>
  <dcterms:modified xsi:type="dcterms:W3CDTF">2025-03-16T05:29:00Z</dcterms:modified>
</cp:coreProperties>
</file>