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ОДБ.10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B9664F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09.02.05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Прикладная информатика (по отраслям)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F4318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F43189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F43189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F43189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, ПК 2.1</w:t>
      </w:r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F43189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2467E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F43189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F43189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F43189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F43189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D51D4D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F43189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F43189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06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F4318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>, ОК 06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F43189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07,  ПК 1.1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F43189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ОК 07</w:t>
      </w:r>
      <w:r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F43189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F43189"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07</w:t>
      </w:r>
      <w:r w:rsidR="00F43189"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02, ОК 07</w:t>
      </w:r>
      <w:r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F43189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>, ОК 06, ОК 07</w:t>
      </w:r>
      <w:r>
        <w:rPr>
          <w:rFonts w:ascii="Times New Roman" w:hAnsi="Times New Roman"/>
          <w:b/>
          <w:sz w:val="28"/>
          <w:szCs w:val="28"/>
          <w:lang w:val="ru-RU"/>
        </w:rPr>
        <w:t>, ПК 1</w:t>
      </w:r>
      <w:r w:rsidR="004A2B21">
        <w:rPr>
          <w:rFonts w:ascii="Times New Roman" w:hAnsi="Times New Roman"/>
          <w:b/>
          <w:sz w:val="28"/>
          <w:szCs w:val="28"/>
          <w:lang w:val="ru-RU"/>
        </w:rPr>
        <w:t>.1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D058AF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4A2B21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Ко</w:t>
      </w:r>
      <w:r w:rsidR="00F43189">
        <w:rPr>
          <w:b/>
          <w:sz w:val="28"/>
          <w:szCs w:val="28"/>
        </w:rPr>
        <w:t xml:space="preserve">мпетенции: </w:t>
      </w:r>
      <w:proofErr w:type="gramStart"/>
      <w:r w:rsidR="00F43189">
        <w:rPr>
          <w:b/>
          <w:sz w:val="28"/>
          <w:szCs w:val="28"/>
        </w:rPr>
        <w:t>ОК</w:t>
      </w:r>
      <w:proofErr w:type="gramEnd"/>
      <w:r w:rsidR="00F43189">
        <w:rPr>
          <w:b/>
          <w:sz w:val="28"/>
          <w:szCs w:val="28"/>
        </w:rPr>
        <w:t xml:space="preserve"> 02, ОК 04, ПК 1.2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D058AF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F43189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04, ПК 1.2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0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0"/>
      <w:r w:rsidR="002F1AC8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F1AC8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Нефтяная промышленность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2F1AC8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D05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bookmarkStart w:id="1" w:name="_GoBack"/>
      <w:bookmarkEnd w:id="1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F43189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1.1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F1AC8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F1AC8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Цветная металлургия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2F1AC8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Текстильная индустрия КНР — первая в мире, поэтому экспортная продукция страны представлена в большинстве стран. Текстильные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предприятия специализируются на изготовлении одежды из синтетических тканей.</w:t>
      </w:r>
    </w:p>
    <w:p w:rsid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2F1A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F43189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04, ПК 1.1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Население размещается крайне равномерно. Основные районы концентрации – прибрежные зоны на востоке, юго-востоке, северо-востоке, юге и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Во внутренних пустынных районах население отсутствует. Австралия является одной из наиболее высокоурбанизированных стран мира: 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Западного плато сами австралийцы часто называют «шип кантри» 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7B1264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Компетенции: ОК 01, ОК 02, ОК 04, ПК 1.1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058AF">
      <w:rPr>
        <w:rStyle w:val="af"/>
        <w:noProof/>
      </w:rPr>
      <w:t>12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0B6B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1AC8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62360"/>
    <w:rsid w:val="0047322A"/>
    <w:rsid w:val="00490378"/>
    <w:rsid w:val="0049551D"/>
    <w:rsid w:val="00495ABE"/>
    <w:rsid w:val="004A2B21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C3DA1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1FE3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1264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76041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9664F"/>
    <w:rsid w:val="00BA592E"/>
    <w:rsid w:val="00BB01C9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58AF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36AEF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43189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C861-30E7-4D1C-90EA-0DCC6A5E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18</Pages>
  <Words>3557</Words>
  <Characters>20277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176</cp:revision>
  <cp:lastPrinted>2021-03-31T08:17:00Z</cp:lastPrinted>
  <dcterms:created xsi:type="dcterms:W3CDTF">2019-06-21T06:31:00Z</dcterms:created>
  <dcterms:modified xsi:type="dcterms:W3CDTF">2025-10-24T11:02:00Z</dcterms:modified>
</cp:coreProperties>
</file>