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B096" w14:textId="7D6F0130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0C686033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 (</w:t>
      </w:r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  <w:r w:rsidR="00D56A9A">
        <w:rPr>
          <w:color w:val="000000"/>
          <w:sz w:val="28"/>
          <w:szCs w:val="28"/>
        </w:rPr>
        <w:t>, ОПК-2 (ОПК-2.3)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25ABFE4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На </w:t>
      </w:r>
      <w:proofErr w:type="gramStart"/>
      <w:r w:rsidRPr="00885C9F">
        <w:rPr>
          <w:color w:val="000000"/>
          <w:sz w:val="28"/>
          <w:szCs w:val="28"/>
        </w:rPr>
        <w:t>основании</w:t>
      </w:r>
      <w:proofErr w:type="gramEnd"/>
      <w:r w:rsidRPr="00885C9F">
        <w:rPr>
          <w:color w:val="000000"/>
          <w:sz w:val="28"/>
          <w:szCs w:val="28"/>
        </w:rPr>
        <w:t xml:space="preserve">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3F7D770F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62E316BB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3FDC040B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071DE45C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6C2E9AC3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7E6B52CE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6D26DEFC" w:rsidR="0058552C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4741BF99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79F4A226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3E94B3B2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lastRenderedPageBreak/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5E296FC9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1A4878A7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715825C3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5854ED9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2.1,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lastRenderedPageBreak/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4B85BC28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2.1,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612E536D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7853F69F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23AA109F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01005138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8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3461A6A4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</w:t>
      </w:r>
      <w:proofErr w:type="gramStart"/>
      <w:r w:rsidR="00C5080C" w:rsidRPr="00C5080C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="00C5080C" w:rsidRPr="00C5080C">
        <w:rPr>
          <w:color w:val="000000"/>
          <w:sz w:val="28"/>
          <w:szCs w:val="28"/>
          <w:shd w:val="clear" w:color="auto" w:fill="FFFFFF"/>
        </w:rPr>
        <w:t xml:space="preserve">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42D3DCC3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0DDEADD4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18AA2F66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</w:t>
      </w:r>
      <w:proofErr w:type="gramStart"/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физическое</w:t>
      </w:r>
      <w:proofErr w:type="gramEnd"/>
    </w:p>
    <w:p w14:paraId="7BC78181" w14:textId="47765E79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lastRenderedPageBreak/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2515E411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</w:t>
      </w:r>
      <w:proofErr w:type="gramStart"/>
      <w:r w:rsidR="006C6349">
        <w:rPr>
          <w:sz w:val="28"/>
          <w:szCs w:val="28"/>
        </w:rPr>
        <w:t>в</w:t>
      </w:r>
      <w:proofErr w:type="gramEnd"/>
      <w:r w:rsidR="006C6349">
        <w:rPr>
          <w:sz w:val="28"/>
          <w:szCs w:val="28"/>
        </w:rPr>
        <w:t xml:space="preserve">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</w:t>
      </w:r>
      <w:proofErr w:type="gramStart"/>
      <w:r w:rsidR="006C6349">
        <w:rPr>
          <w:sz w:val="28"/>
          <w:szCs w:val="28"/>
        </w:rPr>
        <w:t>в</w:t>
      </w:r>
      <w:proofErr w:type="gramEnd"/>
      <w:r w:rsidR="006C6349">
        <w:rPr>
          <w:sz w:val="28"/>
          <w:szCs w:val="28"/>
        </w:rPr>
        <w:t xml:space="preserve">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4CB52309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0800ACF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r w:rsidR="00737BA0" w:rsidRPr="00885C9F">
        <w:rPr>
          <w:color w:val="000000"/>
          <w:sz w:val="28"/>
          <w:szCs w:val="28"/>
        </w:rPr>
        <w:t>2 (</w:t>
      </w:r>
      <w:r w:rsidRPr="00885C9F">
        <w:rPr>
          <w:color w:val="000000"/>
          <w:sz w:val="28"/>
          <w:szCs w:val="28"/>
        </w:rPr>
        <w:t>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0DAA8A0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7F853E0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6379C61E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51B24BFB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019C948" w14:textId="77777777" w:rsidR="00D56A9A" w:rsidRPr="00885C9F" w:rsidRDefault="00D56A9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6B2A0BC9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  <w:r w:rsidR="00D56A9A">
        <w:rPr>
          <w:color w:val="000000"/>
          <w:sz w:val="28"/>
          <w:szCs w:val="28"/>
        </w:rPr>
        <w:t>, ОПК-2 (ОПК-2.3)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</w:t>
      </w:r>
      <w:proofErr w:type="gramStart"/>
      <w:r w:rsidR="0060792A" w:rsidRPr="00885C9F">
        <w:rPr>
          <w:sz w:val="28"/>
          <w:szCs w:val="28"/>
        </w:rPr>
        <w:t>у ООО</w:t>
      </w:r>
      <w:proofErr w:type="gramEnd"/>
      <w:r w:rsidR="0060792A" w:rsidRPr="00885C9F">
        <w:rPr>
          <w:sz w:val="28"/>
          <w:szCs w:val="28"/>
        </w:rPr>
        <w:t xml:space="preserve">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</w:t>
      </w:r>
      <w:proofErr w:type="gramStart"/>
      <w:r w:rsidRPr="00885C9F">
        <w:rPr>
          <w:sz w:val="28"/>
          <w:szCs w:val="28"/>
        </w:rPr>
        <w:t>и ООО</w:t>
      </w:r>
      <w:proofErr w:type="gramEnd"/>
      <w:r w:rsidRPr="00885C9F">
        <w:rPr>
          <w:sz w:val="28"/>
          <w:szCs w:val="28"/>
        </w:rPr>
        <w:t xml:space="preserve">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</w:t>
      </w:r>
      <w:proofErr w:type="gramStart"/>
      <w:r w:rsidRPr="007C6BDD">
        <w:rPr>
          <w:sz w:val="28"/>
          <w:szCs w:val="28"/>
        </w:rPr>
        <w:t>и ООО</w:t>
      </w:r>
      <w:proofErr w:type="gramEnd"/>
      <w:r w:rsidRPr="007C6BDD">
        <w:rPr>
          <w:sz w:val="28"/>
          <w:szCs w:val="28"/>
        </w:rPr>
        <w:t xml:space="preserve">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754E96A6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3B7B8146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r w:rsidR="00737BA0" w:rsidRPr="00657F28">
        <w:rPr>
          <w:color w:val="000000"/>
          <w:sz w:val="28"/>
          <w:szCs w:val="28"/>
        </w:rPr>
        <w:t>2 (</w:t>
      </w:r>
      <w:r w:rsidRPr="00657F28">
        <w:rPr>
          <w:color w:val="000000"/>
          <w:sz w:val="28"/>
          <w:szCs w:val="28"/>
        </w:rPr>
        <w:t>УК</w:t>
      </w:r>
      <w:proofErr w:type="gramStart"/>
      <w:r w:rsidRPr="00657F28">
        <w:rPr>
          <w:color w:val="000000"/>
          <w:sz w:val="28"/>
          <w:szCs w:val="28"/>
        </w:rPr>
        <w:t>2</w:t>
      </w:r>
      <w:proofErr w:type="gramEnd"/>
      <w:r w:rsidRPr="00657F28">
        <w:rPr>
          <w:color w:val="000000"/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 –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proofErr w:type="gramStart"/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  <w:proofErr w:type="gramEnd"/>
    </w:p>
    <w:p w14:paraId="6DB89098" w14:textId="3D2A835E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 УК-</w:t>
      </w:r>
      <w:r w:rsidR="00D56A9A">
        <w:rPr>
          <w:sz w:val="28"/>
          <w:szCs w:val="28"/>
        </w:rPr>
        <w:t>2</w:t>
      </w:r>
      <w:r w:rsidR="00D56A9A">
        <w:rPr>
          <w:color w:val="000000"/>
          <w:sz w:val="28"/>
          <w:szCs w:val="28"/>
        </w:rPr>
        <w:t>, ОПК-2 (ОПК-2.3)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672A5607" w:rsidR="005104E8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</w:t>
      </w:r>
      <w:proofErr w:type="spellStart"/>
      <w:r w:rsidR="008A4733">
        <w:rPr>
          <w:color w:val="000000"/>
          <w:sz w:val="28"/>
          <w:szCs w:val="28"/>
          <w:shd w:val="clear" w:color="auto" w:fill="FFFFFF"/>
        </w:rPr>
        <w:t>репост</w:t>
      </w:r>
      <w:proofErr w:type="spellEnd"/>
      <w:r w:rsidR="008A4733">
        <w:rPr>
          <w:color w:val="000000"/>
          <w:sz w:val="28"/>
          <w:szCs w:val="28"/>
          <w:shd w:val="clear" w:color="auto" w:fill="FFFFFF"/>
        </w:rPr>
        <w:t xml:space="preserve"> из социальной сети известного в России </w:t>
      </w:r>
      <w:proofErr w:type="spellStart"/>
      <w:r w:rsidR="008A4733">
        <w:rPr>
          <w:color w:val="000000"/>
          <w:sz w:val="28"/>
          <w:szCs w:val="28"/>
          <w:shd w:val="clear" w:color="auto" w:fill="FFFFFF"/>
        </w:rPr>
        <w:t>блогера</w:t>
      </w:r>
      <w:proofErr w:type="spellEnd"/>
      <w:r w:rsidR="008A4733">
        <w:rPr>
          <w:color w:val="000000"/>
          <w:sz w:val="28"/>
          <w:szCs w:val="28"/>
          <w:shd w:val="clear" w:color="auto" w:fill="FFFFFF"/>
        </w:rPr>
        <w:t xml:space="preserve">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 xml:space="preserve">Ответственность за виртуальное деяние полностью приравнивается к </w:t>
      </w:r>
      <w:proofErr w:type="gramStart"/>
      <w:r w:rsidRPr="00B83199">
        <w:rPr>
          <w:color w:val="000000"/>
          <w:sz w:val="28"/>
          <w:szCs w:val="28"/>
        </w:rPr>
        <w:t>реальному</w:t>
      </w:r>
      <w:proofErr w:type="gramEnd"/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 xml:space="preserve">» или экстремизме. </w:t>
      </w:r>
      <w:proofErr w:type="gramStart"/>
      <w:r w:rsidR="00905247">
        <w:rPr>
          <w:color w:val="000000"/>
          <w:sz w:val="28"/>
          <w:szCs w:val="28"/>
        </w:rPr>
        <w:t>За его первичное совершение применяется административная ответственность, за повторное – уголовная.</w:t>
      </w:r>
      <w:proofErr w:type="gramEnd"/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4CE0EA7B" w:rsidR="0088277D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</w:t>
      </w:r>
      <w:r w:rsidR="00D56A9A">
        <w:rPr>
          <w:sz w:val="28"/>
          <w:szCs w:val="28"/>
        </w:rPr>
        <w:t>2</w:t>
      </w:r>
      <w:r w:rsidR="00D56A9A">
        <w:rPr>
          <w:color w:val="000000"/>
          <w:sz w:val="28"/>
          <w:szCs w:val="28"/>
        </w:rPr>
        <w:t>, ОПК-2 (ОПК-2.3)</w:t>
      </w:r>
    </w:p>
    <w:p w14:paraId="6B904AE5" w14:textId="40AECCA6" w:rsidR="0088277D" w:rsidRDefault="0088277D">
      <w:pPr>
        <w:rPr>
          <w:color w:val="000000"/>
          <w:sz w:val="28"/>
          <w:szCs w:val="28"/>
        </w:rPr>
      </w:pPr>
      <w:bookmarkStart w:id="4" w:name="_GoBack"/>
      <w:bookmarkEnd w:id="4"/>
    </w:p>
    <w:sectPr w:rsidR="0088277D" w:rsidSect="002C5B0F">
      <w:headerReference w:type="default" r:id="rId9"/>
      <w:footerReference w:type="even" r:id="rId10"/>
      <w:footerReference w:type="default" r:id="rId11"/>
      <w:pgSz w:w="12240" w:h="1584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CC0A9" w14:textId="77777777" w:rsidR="00C022E5" w:rsidRDefault="00C022E5">
      <w:r>
        <w:separator/>
      </w:r>
    </w:p>
  </w:endnote>
  <w:endnote w:type="continuationSeparator" w:id="0">
    <w:p w14:paraId="7AF3DAE7" w14:textId="77777777" w:rsidR="00C022E5" w:rsidRDefault="00C0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6D213" w14:textId="77777777" w:rsidR="00C022E5" w:rsidRDefault="00C022E5">
      <w:r>
        <w:separator/>
      </w:r>
    </w:p>
  </w:footnote>
  <w:footnote w:type="continuationSeparator" w:id="0">
    <w:p w14:paraId="2844EA78" w14:textId="77777777" w:rsidR="00C022E5" w:rsidRDefault="00C02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71782"/>
      <w:docPartObj>
        <w:docPartGallery w:val="Page Numbers (Top of Page)"/>
        <w:docPartUnique/>
      </w:docPartObj>
    </w:sdtPr>
    <w:sdtEndPr/>
    <w:sdtContent>
      <w:p w14:paraId="59ADA74B" w14:textId="3F9AF81C" w:rsidR="002C5B0F" w:rsidRDefault="002C5B0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2F1">
          <w:rPr>
            <w:noProof/>
          </w:rPr>
          <w:t>11</w:t>
        </w:r>
        <w:r>
          <w:fldChar w:fldCharType="end"/>
        </w:r>
      </w:p>
    </w:sdtContent>
  </w:sdt>
  <w:p w14:paraId="46C7E6F4" w14:textId="77777777" w:rsidR="002C5B0F" w:rsidRDefault="002C5B0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1FCB"/>
    <w:rsid w:val="00042DDC"/>
    <w:rsid w:val="0006528D"/>
    <w:rsid w:val="000754E0"/>
    <w:rsid w:val="00085558"/>
    <w:rsid w:val="0009799C"/>
    <w:rsid w:val="000A693F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6866"/>
    <w:rsid w:val="002A776C"/>
    <w:rsid w:val="002B062A"/>
    <w:rsid w:val="002B5737"/>
    <w:rsid w:val="002C5B0F"/>
    <w:rsid w:val="002E3B86"/>
    <w:rsid w:val="002F0C0D"/>
    <w:rsid w:val="00326147"/>
    <w:rsid w:val="003424BB"/>
    <w:rsid w:val="003D4C07"/>
    <w:rsid w:val="0040683C"/>
    <w:rsid w:val="00410D9B"/>
    <w:rsid w:val="0041385C"/>
    <w:rsid w:val="004348AE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277D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9D72F1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022E5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6A9A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8827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8277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rsid w:val="0088277D"/>
    <w:rPr>
      <w:sz w:val="28"/>
      <w:szCs w:val="28"/>
    </w:rPr>
  </w:style>
  <w:style w:type="character" w:customStyle="1" w:styleId="af1">
    <w:name w:val="Другое_"/>
    <w:basedOn w:val="a0"/>
    <w:link w:val="af2"/>
    <w:rsid w:val="0088277D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customStyle="1" w:styleId="af2">
    <w:name w:val="Другое"/>
    <w:basedOn w:val="a"/>
    <w:link w:val="af1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styleId="af3">
    <w:name w:val="header"/>
    <w:basedOn w:val="a"/>
    <w:link w:val="af4"/>
    <w:uiPriority w:val="99"/>
    <w:rsid w:val="002C5B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C5B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8827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8277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rsid w:val="0088277D"/>
    <w:rPr>
      <w:sz w:val="28"/>
      <w:szCs w:val="28"/>
    </w:rPr>
  </w:style>
  <w:style w:type="character" w:customStyle="1" w:styleId="af1">
    <w:name w:val="Другое_"/>
    <w:basedOn w:val="a0"/>
    <w:link w:val="af2"/>
    <w:rsid w:val="0088277D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customStyle="1" w:styleId="af2">
    <w:name w:val="Другое"/>
    <w:basedOn w:val="a"/>
    <w:link w:val="af1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styleId="af3">
    <w:name w:val="header"/>
    <w:basedOn w:val="a"/>
    <w:link w:val="af4"/>
    <w:uiPriority w:val="99"/>
    <w:rsid w:val="002C5B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C5B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constitution/it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18283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ADMIN</cp:lastModifiedBy>
  <cp:revision>2</cp:revision>
  <dcterms:created xsi:type="dcterms:W3CDTF">2025-03-24T11:52:00Z</dcterms:created>
  <dcterms:modified xsi:type="dcterms:W3CDTF">2025-03-24T11:52:00Z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