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0E0C08B1" w:rsidR="00BB705E" w:rsidRPr="00BB705E" w:rsidRDefault="00BB705E" w:rsidP="006356D8">
      <w:pPr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5A90CB04" w:rsidR="00DC5104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E3057A">
        <w:rPr>
          <w:rFonts w:ascii="Times New Roman" w:hAnsi="Times New Roman" w:cs="Times New Roman"/>
          <w:sz w:val="28"/>
          <w:szCs w:val="28"/>
        </w:rPr>
        <w:t xml:space="preserve"> 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  <w:r w:rsidR="00DC5104" w:rsidRPr="004B1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55277D34" w:rsidR="005D417D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66FB1080" w:rsidR="00353605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48B4EBD2" w:rsidR="00775716" w:rsidRDefault="00254EF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5FC7B1A7" w:rsidR="00775716" w:rsidRDefault="00254EF3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0AF72FC2" w:rsidR="005D7930" w:rsidRDefault="00254EF3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47EFE205" w:rsidR="00694698" w:rsidRPr="00242421" w:rsidRDefault="00254EF3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58BEAAAA" w:rsidR="0005618D" w:rsidRDefault="00254EF3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25A61539" w:rsidR="00840474" w:rsidRDefault="00254EF3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6F8900E6" w:rsidR="002929B7" w:rsidRPr="00347012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75F4658C" w:rsidR="00BC2A11" w:rsidRDefault="00254EF3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3BE89E93" w:rsidR="00BB155A" w:rsidRDefault="00254EF3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6184AD6" w:rsidR="00A31953" w:rsidRPr="005646F4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4CFBE0FD" w:rsidR="005646F4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75F31D4D" w:rsidR="000473A0" w:rsidRDefault="00254EF3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AB8198C" w:rsidR="001531CC" w:rsidRDefault="00254EF3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53B8CC07" w:rsidR="0073441E" w:rsidRDefault="00254EF3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5D2E64B6" w:rsidR="0073441E" w:rsidRDefault="00254EF3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E3057A">
        <w:rPr>
          <w:rFonts w:ascii="Times New Roman" w:hAnsi="Times New Roman" w:cs="Times New Roman"/>
          <w:sz w:val="28"/>
          <w:szCs w:val="28"/>
        </w:rPr>
        <w:t xml:space="preserve"> (УК-5.1,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УК-5.2,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УК-5.3,</w:t>
      </w:r>
      <w:r w:rsidR="00E3057A" w:rsidRPr="00E3057A">
        <w:rPr>
          <w:rFonts w:ascii="Times New Roman" w:hAnsi="Times New Roman" w:cs="Times New Roman"/>
          <w:sz w:val="28"/>
          <w:szCs w:val="28"/>
        </w:rPr>
        <w:t xml:space="preserve"> </w:t>
      </w:r>
      <w:r w:rsidR="00E3057A">
        <w:rPr>
          <w:rFonts w:ascii="Times New Roman" w:hAnsi="Times New Roman" w:cs="Times New Roman"/>
          <w:sz w:val="28"/>
          <w:szCs w:val="28"/>
        </w:rPr>
        <w:t>УК-5.4)</w:t>
      </w:r>
    </w:p>
    <w:p w14:paraId="24DEB905" w14:textId="7BDEE47F" w:rsidR="006D4904" w:rsidRDefault="006356D8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6" w:name="_GoBack"/>
      <w:bookmarkEnd w:id="6"/>
    </w:p>
    <w:sectPr w:rsidR="006D4904" w:rsidSect="00775716">
      <w:footerReference w:type="default" r:id="rId9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32DD" w14:textId="77777777" w:rsidR="001D0DB8" w:rsidRDefault="001D0DB8">
      <w:pPr>
        <w:spacing w:after="0" w:line="240" w:lineRule="auto"/>
      </w:pPr>
      <w:r>
        <w:separator/>
      </w:r>
    </w:p>
  </w:endnote>
  <w:endnote w:type="continuationSeparator" w:id="0">
    <w:p w14:paraId="069DE6BF" w14:textId="77777777" w:rsidR="001D0DB8" w:rsidRDefault="001D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356D8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6356D8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7D2D" w14:textId="77777777" w:rsidR="001D0DB8" w:rsidRDefault="001D0DB8">
      <w:pPr>
        <w:spacing w:after="0" w:line="240" w:lineRule="auto"/>
      </w:pPr>
      <w:r>
        <w:separator/>
      </w:r>
    </w:p>
  </w:footnote>
  <w:footnote w:type="continuationSeparator" w:id="0">
    <w:p w14:paraId="4E6E124A" w14:textId="77777777" w:rsidR="001D0DB8" w:rsidRDefault="001D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1D0DB8"/>
    <w:rsid w:val="002378F8"/>
    <w:rsid w:val="00241070"/>
    <w:rsid w:val="00242421"/>
    <w:rsid w:val="00254EF3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921DE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356D8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7A44BD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3057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9E56-70AE-46EB-BA6C-66E36BED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1080</Words>
  <Characters>8050</Characters>
  <Application>Microsoft Office Word</Application>
  <DocSecurity>0</DocSecurity>
  <Lines>251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5</cp:revision>
  <dcterms:created xsi:type="dcterms:W3CDTF">2025-03-25T08:53:00Z</dcterms:created>
  <dcterms:modified xsi:type="dcterms:W3CDTF">2025-04-03T17:04:00Z</dcterms:modified>
</cp:coreProperties>
</file>