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9DEA" w14:textId="446CB086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</w:t>
      </w:r>
      <w:proofErr w:type="gramStart"/>
      <w:r w:rsidRPr="00D2062A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D2062A">
        <w:rPr>
          <w:rFonts w:ascii="Times New Roman" w:hAnsi="Times New Roman" w:cs="Times New Roman"/>
          <w:sz w:val="28"/>
          <w:szCs w:val="28"/>
        </w:rPr>
        <w:t>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220530CC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67EE3600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389A7C09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19953D8A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Шумомер</w:t>
            </w:r>
            <w:proofErr w:type="spellEnd"/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0D668990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</w:t>
            </w:r>
            <w:proofErr w:type="gram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proofErr w:type="gram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7E36C2E3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659E">
        <w:rPr>
          <w:rFonts w:ascii="Times New Roman" w:hAnsi="Times New Roman" w:cs="Times New Roman"/>
          <w:sz w:val="28"/>
          <w:szCs w:val="28"/>
        </w:rPr>
        <w:t xml:space="preserve"> УК-8 (УК-8.1, УК-8.2, УК-8.3)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15DF6DD0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3784750B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52608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26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6F8AEE7A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  <w:proofErr w:type="gramEnd"/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3FEBA319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4DDCDBC2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31BAC">
        <w:rPr>
          <w:rFonts w:ascii="Times New Roman" w:hAnsi="Times New Roman" w:cs="Times New Roman"/>
          <w:sz w:val="28"/>
          <w:szCs w:val="28"/>
        </w:rPr>
        <w:t>БЖД</w:t>
      </w:r>
      <w:proofErr w:type="spellEnd"/>
    </w:p>
    <w:p w14:paraId="2BFCBD01" w14:textId="2CE78DF9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4A3E63E5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 xml:space="preserve"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</w:t>
      </w:r>
      <w:proofErr w:type="gramStart"/>
      <w:r w:rsidRPr="00FB1DAD">
        <w:rPr>
          <w:rFonts w:ascii="Times New Roman" w:hAnsi="Times New Roman" w:cs="Times New Roman"/>
          <w:sz w:val="28"/>
          <w:szCs w:val="28"/>
        </w:rPr>
        <w:t>санитарно-гигиенически</w:t>
      </w:r>
      <w:proofErr w:type="gramEnd"/>
      <w:r w:rsidRPr="00FB1DAD">
        <w:rPr>
          <w:rFonts w:ascii="Times New Roman" w:hAnsi="Times New Roman" w:cs="Times New Roman"/>
          <w:sz w:val="28"/>
          <w:szCs w:val="28"/>
        </w:rPr>
        <w:t>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14:paraId="58B27970" w14:textId="3406EEAC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659E">
        <w:rPr>
          <w:rFonts w:ascii="Times New Roman" w:hAnsi="Times New Roman" w:cs="Times New Roman"/>
          <w:sz w:val="28"/>
          <w:szCs w:val="28"/>
        </w:rPr>
        <w:t xml:space="preserve"> УК-8 (УК-8.1, УК-8.2, УК-8.3)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44119">
        <w:rPr>
          <w:rFonts w:ascii="Times New Roman" w:hAnsi="Times New Roman" w:cs="Times New Roman"/>
          <w:sz w:val="28"/>
          <w:szCs w:val="28"/>
        </w:rPr>
        <w:t>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44119">
        <w:rPr>
          <w:rFonts w:ascii="Times New Roman" w:hAnsi="Times New Roman" w:cs="Times New Roman"/>
          <w:sz w:val="28"/>
          <w:szCs w:val="28"/>
        </w:rPr>
        <w:t>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08FF0DB6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КЕО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КЕО</w:t>
      </w:r>
      <w:proofErr w:type="spellEnd"/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Ответ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gram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proofErr w:type="gram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фактического значения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КЕО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сравнение фактического значения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КЕО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 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нормативным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3BBDAEB2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</w:t>
      </w:r>
      <w:proofErr w:type="gramStart"/>
      <w:r w:rsidRPr="0008474F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 w:rsidRPr="0008474F">
        <w:rPr>
          <w:rFonts w:ascii="Times New Roman" w:hAnsi="Times New Roman" w:cs="Times New Roman"/>
          <w:iCs/>
          <w:sz w:val="28"/>
          <w:szCs w:val="28"/>
        </w:rPr>
        <w:t xml:space="preserve">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86740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86740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количество дней нетрудоспособности на 1 </w:t>
      </w:r>
      <w:proofErr w:type="spellStart"/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НС</w:t>
      </w:r>
      <w:proofErr w:type="spellEnd"/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76E3C99D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7659E">
        <w:rPr>
          <w:rFonts w:ascii="Times New Roman" w:hAnsi="Times New Roman" w:cs="Times New Roman"/>
          <w:sz w:val="28"/>
          <w:szCs w:val="28"/>
        </w:rPr>
        <w:t>УК-8 (УК-8.1, УК-8.2, УК-8.3)</w:t>
      </w:r>
    </w:p>
    <w:p w14:paraId="65CA4990" w14:textId="77777777" w:rsidR="002B7175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AFF4EEB" w14:textId="77777777" w:rsidR="0077659E" w:rsidRDefault="0077659E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C43312F" w14:textId="35ADA02D" w:rsidR="0077659E" w:rsidRPr="00316848" w:rsidRDefault="0077659E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77659E" w:rsidRPr="00316848" w:rsidSect="0087699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39BEB" w14:textId="77777777" w:rsidR="00FF07D0" w:rsidRDefault="00FF07D0" w:rsidP="00876997">
      <w:pPr>
        <w:spacing w:after="0" w:line="240" w:lineRule="auto"/>
      </w:pPr>
      <w:r>
        <w:separator/>
      </w:r>
    </w:p>
  </w:endnote>
  <w:endnote w:type="continuationSeparator" w:id="0">
    <w:p w14:paraId="3CBE0AA4" w14:textId="77777777" w:rsidR="00FF07D0" w:rsidRDefault="00FF07D0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86740D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659C4" w14:textId="77777777" w:rsidR="00FF07D0" w:rsidRDefault="00FF07D0" w:rsidP="00876997">
      <w:pPr>
        <w:spacing w:after="0" w:line="240" w:lineRule="auto"/>
      </w:pPr>
      <w:r>
        <w:separator/>
      </w:r>
    </w:p>
  </w:footnote>
  <w:footnote w:type="continuationSeparator" w:id="0">
    <w:p w14:paraId="4D6ADD3F" w14:textId="77777777" w:rsidR="00FF07D0" w:rsidRDefault="00FF07D0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11E8"/>
    <w:rsid w:val="002A2666"/>
    <w:rsid w:val="002B1119"/>
    <w:rsid w:val="002B7175"/>
    <w:rsid w:val="002D76CC"/>
    <w:rsid w:val="00307F02"/>
    <w:rsid w:val="00312139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77659E"/>
    <w:rsid w:val="00802E63"/>
    <w:rsid w:val="00815780"/>
    <w:rsid w:val="00853118"/>
    <w:rsid w:val="0086740D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3148"/>
    <w:rsid w:val="00BB635F"/>
    <w:rsid w:val="00BE286B"/>
    <w:rsid w:val="00C36B16"/>
    <w:rsid w:val="00D22682"/>
    <w:rsid w:val="00D501B0"/>
    <w:rsid w:val="00D91271"/>
    <w:rsid w:val="00E3360F"/>
    <w:rsid w:val="00E455E8"/>
    <w:rsid w:val="00E754D8"/>
    <w:rsid w:val="00EC0FA1"/>
    <w:rsid w:val="00EE483D"/>
    <w:rsid w:val="00F16319"/>
    <w:rsid w:val="00F45ECF"/>
    <w:rsid w:val="00F535DB"/>
    <w:rsid w:val="00F8702A"/>
    <w:rsid w:val="00FA7E45"/>
    <w:rsid w:val="00FB1DAD"/>
    <w:rsid w:val="00FB5327"/>
    <w:rsid w:val="00FF07D0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325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77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77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68E2-FAA0-4BE6-A31E-50FFE893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1240</Words>
  <Characters>8734</Characters>
  <Application>Microsoft Office Word</Application>
  <DocSecurity>0</DocSecurity>
  <Lines>311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2025-04-02T19:48:00Z</dcterms:created>
  <dcterms:modified xsi:type="dcterms:W3CDTF">2025-04-03T17:03:00Z</dcterms:modified>
</cp:coreProperties>
</file>