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2B7D117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527945">
      <w:pPr>
        <w:pStyle w:val="4"/>
        <w:ind w:firstLine="0"/>
      </w:pPr>
      <w:r w:rsidRPr="00840510">
        <w:t>Задания закрытого типа на выбор правильного ответа</w:t>
      </w:r>
    </w:p>
    <w:p w14:paraId="29C093CD" w14:textId="20B33A0D" w:rsidR="0092015D" w:rsidRDefault="0092015D" w:rsidP="00834CE4">
      <w:pPr>
        <w:ind w:firstLine="0"/>
      </w:pPr>
      <w:r w:rsidRPr="00527945">
        <w:rPr>
          <w:i/>
          <w:iCs/>
        </w:rPr>
        <w:t>Выберите один правильный ответ</w:t>
      </w:r>
    </w:p>
    <w:p w14:paraId="0AE08BB3" w14:textId="1731B213" w:rsidR="00AC1C46" w:rsidRDefault="00830070" w:rsidP="00834CE4">
      <w:pPr>
        <w:ind w:firstLine="0"/>
      </w:pPr>
      <w:bookmarkStart w:id="0" w:name="_Hlk190998818"/>
      <w:r>
        <w:t xml:space="preserve">1. </w:t>
      </w:r>
      <w:r w:rsidR="00AC1C46"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 w:rsidR="00AC1C46">
        <w:t>:</w:t>
      </w:r>
    </w:p>
    <w:p w14:paraId="330F0CDB" w14:textId="03D5C144" w:rsidR="00542091" w:rsidRDefault="00542091" w:rsidP="00834CE4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834CE4">
      <w:pPr>
        <w:ind w:firstLine="0"/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834CE4">
      <w:pPr>
        <w:ind w:firstLine="0"/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834CE4">
      <w:pPr>
        <w:ind w:firstLine="0"/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834CE4">
      <w:pPr>
        <w:ind w:firstLine="0"/>
      </w:pPr>
      <w:r w:rsidRPr="00D726DB">
        <w:t xml:space="preserve">Правильный ответ: </w:t>
      </w:r>
      <w:r w:rsidR="00AC1C46">
        <w:t>В</w:t>
      </w:r>
    </w:p>
    <w:p w14:paraId="11761935" w14:textId="13568079" w:rsidR="0092015D" w:rsidRDefault="00D77354" w:rsidP="00834CE4">
      <w:pPr>
        <w:ind w:firstLine="0"/>
      </w:pPr>
      <w:r>
        <w:t>Компетенции (индикаторы): УК 5 (УК-5.1, УК-5.2)</w:t>
      </w:r>
      <w:r w:rsidR="00F91C57">
        <w:t xml:space="preserve"> </w:t>
      </w:r>
    </w:p>
    <w:p w14:paraId="788B59A0" w14:textId="77777777" w:rsidR="00D77354" w:rsidRDefault="00D77354" w:rsidP="00834CE4">
      <w:pPr>
        <w:ind w:firstLine="0"/>
      </w:pPr>
    </w:p>
    <w:p w14:paraId="023E7F11" w14:textId="7CE4733C" w:rsidR="00AC1C46" w:rsidRDefault="00C70737" w:rsidP="00834CE4">
      <w:pPr>
        <w:ind w:firstLine="0"/>
      </w:pPr>
      <w:r>
        <w:t xml:space="preserve">2. </w:t>
      </w:r>
      <w:bookmarkStart w:id="1" w:name="_Hlk190998981"/>
      <w:r w:rsidR="00AC1C46"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834CE4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834CE4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834CE4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834CE4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834CE4">
      <w:pPr>
        <w:ind w:firstLine="0"/>
      </w:pPr>
      <w:r>
        <w:t xml:space="preserve">Правильный ответ: </w:t>
      </w:r>
      <w:r w:rsidR="00AC1C46">
        <w:t>А</w:t>
      </w:r>
    </w:p>
    <w:p w14:paraId="1F70BEE5" w14:textId="2B92C566" w:rsidR="00C70737" w:rsidRDefault="00D77354" w:rsidP="00834CE4">
      <w:pPr>
        <w:ind w:firstLine="0"/>
      </w:pPr>
      <w:r>
        <w:t>Компетенции (индикаторы): УК 5 (УК-5.1, УК-5.2)</w:t>
      </w:r>
    </w:p>
    <w:p w14:paraId="44E73EF9" w14:textId="7667B6A9" w:rsidR="00C70737" w:rsidRDefault="00C70737" w:rsidP="00834CE4">
      <w:pPr>
        <w:ind w:firstLine="0"/>
      </w:pPr>
    </w:p>
    <w:p w14:paraId="018CFB35" w14:textId="07E73DAF" w:rsidR="00C70737" w:rsidRPr="00C70737" w:rsidRDefault="00F71F6A" w:rsidP="00834CE4">
      <w:pPr>
        <w:ind w:firstLine="0"/>
        <w:rPr>
          <w:rFonts w:eastAsiaTheme="minorEastAsia"/>
          <w:i/>
        </w:rPr>
      </w:pPr>
      <w:r w:rsidRPr="008E2DDD">
        <w:t>3</w:t>
      </w:r>
      <w:r w:rsidR="00C70737">
        <w:t xml:space="preserve">. </w:t>
      </w:r>
      <w:bookmarkStart w:id="5" w:name="_Hlk190999089"/>
      <w:r w:rsidR="00AC1C46"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834CE4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834CE4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834CE4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834CE4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834CE4">
      <w:pPr>
        <w:ind w:firstLine="0"/>
      </w:pPr>
      <w:r>
        <w:t xml:space="preserve">Правильный ответ: </w:t>
      </w:r>
      <w:r w:rsidR="00FD7EB4">
        <w:t>В</w:t>
      </w:r>
    </w:p>
    <w:p w14:paraId="60770ADB" w14:textId="2CED97B4" w:rsidR="00C70737" w:rsidRDefault="00D77354" w:rsidP="00834CE4">
      <w:pPr>
        <w:ind w:firstLine="0"/>
      </w:pPr>
      <w:r>
        <w:t>Компетенции (индикаторы): УК 5 (УК-5.1, УК-5.2)</w:t>
      </w:r>
    </w:p>
    <w:p w14:paraId="24C04097" w14:textId="7E7AB944" w:rsidR="00C70737" w:rsidRDefault="00C70737" w:rsidP="00834CE4">
      <w:pPr>
        <w:ind w:firstLine="0"/>
      </w:pPr>
    </w:p>
    <w:p w14:paraId="71F7FA56" w14:textId="72AA62DD" w:rsidR="00FD7EB4" w:rsidRDefault="00C70737" w:rsidP="00834CE4">
      <w:pPr>
        <w:ind w:firstLine="0"/>
      </w:pPr>
      <w:r>
        <w:t xml:space="preserve">4. </w:t>
      </w:r>
      <w:r w:rsidR="00FD7EB4"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834CE4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834CE4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834CE4">
      <w:pPr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834CE4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834CE4">
      <w:pPr>
        <w:ind w:firstLine="0"/>
      </w:pPr>
      <w:r>
        <w:t xml:space="preserve">Правильный ответ: </w:t>
      </w:r>
      <w:r w:rsidR="00FD7EB4" w:rsidRPr="008E4CA9">
        <w:t>Б</w:t>
      </w:r>
    </w:p>
    <w:p w14:paraId="452272CB" w14:textId="36EC2161" w:rsidR="00C70737" w:rsidRPr="00C70737" w:rsidRDefault="00D77354" w:rsidP="00834CE4">
      <w:pPr>
        <w:ind w:firstLine="0"/>
      </w:pPr>
      <w:r>
        <w:t>Компетенции (индикаторы): УК 5 (УК-5.1, УК-5.2)</w:t>
      </w:r>
    </w:p>
    <w:p w14:paraId="170E0FAF" w14:textId="77777777" w:rsidR="00834CE4" w:rsidRDefault="00834CE4" w:rsidP="00527945">
      <w:pPr>
        <w:pStyle w:val="4"/>
        <w:ind w:firstLine="0"/>
      </w:pPr>
    </w:p>
    <w:p w14:paraId="2CB15910" w14:textId="2776E3CE" w:rsidR="00874B3E" w:rsidRDefault="00874B3E" w:rsidP="00527945">
      <w:pPr>
        <w:pStyle w:val="4"/>
        <w:ind w:firstLine="0"/>
      </w:pPr>
      <w:r>
        <w:lastRenderedPageBreak/>
        <w:t>Задания закрытого типа на установление соответствия</w:t>
      </w:r>
    </w:p>
    <w:p w14:paraId="2B4AEFDC" w14:textId="77777777" w:rsidR="00055E59" w:rsidRPr="0091350B" w:rsidRDefault="00055E59" w:rsidP="00055E59">
      <w:pPr>
        <w:ind w:firstLine="0"/>
        <w:rPr>
          <w:i/>
          <w:iCs/>
          <w:szCs w:val="28"/>
        </w:rPr>
      </w:pPr>
      <w:r w:rsidRPr="0091350B">
        <w:rPr>
          <w:i/>
          <w:iCs/>
          <w:szCs w:val="28"/>
        </w:rPr>
        <w:t>Установите правильное соответствие.</w:t>
      </w:r>
    </w:p>
    <w:p w14:paraId="74E094B9" w14:textId="77777777" w:rsidR="00055E59" w:rsidRPr="0091350B" w:rsidRDefault="00055E59" w:rsidP="00055E59">
      <w:pPr>
        <w:ind w:firstLine="0"/>
        <w:rPr>
          <w:i/>
          <w:iCs/>
          <w:szCs w:val="28"/>
        </w:rPr>
      </w:pPr>
      <w:r w:rsidRPr="0091350B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319E91C5" w14:textId="77777777" w:rsidR="00055E59" w:rsidRPr="00055E59" w:rsidRDefault="00055E59" w:rsidP="00055E59"/>
    <w:p w14:paraId="54E14837" w14:textId="46558943" w:rsidR="00721A69" w:rsidRDefault="00721A69" w:rsidP="00527945">
      <w:pPr>
        <w:ind w:firstLine="0"/>
      </w:pPr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1455B506" w:rsidR="00721A69" w:rsidRDefault="00D77354" w:rsidP="00721A69">
      <w:r>
        <w:t>Компетенции (индикаторы): УК 5 (УК-5.1, УК-5.2)</w:t>
      </w:r>
    </w:p>
    <w:p w14:paraId="2E0996A2" w14:textId="59AC1EE8" w:rsidR="00B5777E" w:rsidRDefault="00B5777E" w:rsidP="00721A69"/>
    <w:p w14:paraId="6ADEC881" w14:textId="156DEE88" w:rsidR="00AD7916" w:rsidRDefault="00AD7916" w:rsidP="00055E59">
      <w:pPr>
        <w:ind w:firstLine="0"/>
      </w:pPr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 xml:space="preserve">лицо, отвечающее на вопросы в ходе интервьюирования, в </w:t>
            </w:r>
            <w:r w:rsidRPr="00EC334B">
              <w:lastRenderedPageBreak/>
              <w:t>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3C7C536B" w:rsidR="00AD7916" w:rsidRDefault="00D77354" w:rsidP="00AD7916">
      <w:r>
        <w:t>Компетенции (индикаторы): УК 5 (УК-5.1, УК-5.2)</w:t>
      </w:r>
    </w:p>
    <w:p w14:paraId="3B2A8B9D" w14:textId="4E5ACF0A" w:rsidR="00AD7916" w:rsidRDefault="00AD7916" w:rsidP="00721A69"/>
    <w:p w14:paraId="1C6D8AA7" w14:textId="4D09A99F" w:rsidR="00AD7916" w:rsidRDefault="00AD7916" w:rsidP="00055E59">
      <w:pPr>
        <w:ind w:firstLine="0"/>
      </w:pPr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737DAC9F" w:rsidR="00AD7916" w:rsidRDefault="00D77354" w:rsidP="00AD7916">
      <w:r>
        <w:t>Компетенции (индикаторы): УК 5 (УК-5.1, УК-5.2)</w:t>
      </w:r>
    </w:p>
    <w:p w14:paraId="78BBEAC7" w14:textId="3C486FF1" w:rsidR="00AD7916" w:rsidRDefault="00AD7916" w:rsidP="00055E59">
      <w:pPr>
        <w:ind w:firstLine="0"/>
      </w:pPr>
      <w:r>
        <w:lastRenderedPageBreak/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3605C5A7" w:rsidR="00AD7916" w:rsidRDefault="00D77354" w:rsidP="00AD7916">
      <w:r>
        <w:t>Компетенции (индикаторы): УК 5 (УК-5.1, УК-5.2)</w:t>
      </w:r>
    </w:p>
    <w:p w14:paraId="20870E1D" w14:textId="77777777" w:rsidR="00055E59" w:rsidRPr="00721A69" w:rsidRDefault="00055E59" w:rsidP="00721A69"/>
    <w:p w14:paraId="2AB27E1A" w14:textId="096BE8E2" w:rsidR="00874B3E" w:rsidRDefault="00874B3E" w:rsidP="00055E59">
      <w:pPr>
        <w:pStyle w:val="4"/>
        <w:ind w:firstLine="0"/>
        <w:jc w:val="left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1F3D07">
      <w:pPr>
        <w:tabs>
          <w:tab w:val="left" w:pos="851"/>
        </w:tabs>
        <w:ind w:firstLine="0"/>
      </w:pPr>
      <w:r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1F3D0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1F3D0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lastRenderedPageBreak/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1F3D0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1F3D07">
      <w:pPr>
        <w:ind w:firstLine="0"/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1F3D07">
      <w:pPr>
        <w:ind w:firstLine="0"/>
      </w:pPr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3C5B1995" w:rsidR="00BB2661" w:rsidRDefault="00D77354" w:rsidP="001F3D07">
      <w:pPr>
        <w:ind w:firstLine="0"/>
      </w:pPr>
      <w:r>
        <w:t>Компетенции (индикаторы): УК 5 (УК-5.1, УК-5.2)</w:t>
      </w:r>
    </w:p>
    <w:p w14:paraId="0BD1ECB0" w14:textId="77777777" w:rsidR="00BB2661" w:rsidRPr="00BB2661" w:rsidRDefault="00BB2661" w:rsidP="001F3D07">
      <w:pPr>
        <w:ind w:firstLine="0"/>
      </w:pPr>
    </w:p>
    <w:p w14:paraId="44B37FBD" w14:textId="77777777" w:rsidR="00FD780B" w:rsidRDefault="00640F75" w:rsidP="001F3D07">
      <w:pPr>
        <w:ind w:firstLine="0"/>
      </w:pPr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1F3D0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1F3D0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1F3D0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1F3D0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1F3D07">
      <w:pPr>
        <w:ind w:firstLine="0"/>
      </w:pPr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7D664175" w:rsidR="00640F75" w:rsidRDefault="00D77354" w:rsidP="001F3D07">
      <w:pPr>
        <w:ind w:firstLine="0"/>
      </w:pPr>
      <w:r>
        <w:t>Компетенции (индикаторы): УК 5 (УК-5.1, УК-5.2)</w:t>
      </w:r>
    </w:p>
    <w:p w14:paraId="0D7AA7AE" w14:textId="510676FE" w:rsidR="00AD7916" w:rsidRDefault="00AD7916" w:rsidP="001F3D07">
      <w:pPr>
        <w:ind w:firstLine="0"/>
      </w:pPr>
    </w:p>
    <w:p w14:paraId="3BD7332F" w14:textId="1DADFDF4" w:rsidR="00640F75" w:rsidRPr="00651072" w:rsidRDefault="004A6607" w:rsidP="001F3D07">
      <w:pPr>
        <w:ind w:firstLine="0"/>
      </w:pPr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1F3D0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1F3D0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1F3D0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1F3D07">
      <w:pPr>
        <w:ind w:firstLine="0"/>
      </w:pPr>
      <w:r w:rsidRPr="00651072">
        <w:t xml:space="preserve">Правильный ответ: </w:t>
      </w:r>
      <w:r w:rsidR="00D40FD8">
        <w:t>Б, В, А</w:t>
      </w:r>
    </w:p>
    <w:p w14:paraId="0C5D28E6" w14:textId="706A7A6D" w:rsidR="00640F75" w:rsidRPr="00651072" w:rsidRDefault="00D77354" w:rsidP="001F3D07">
      <w:pPr>
        <w:ind w:firstLine="0"/>
      </w:pPr>
      <w:r>
        <w:t>Компетенции (индикаторы): УК 5 (УК-5.1, УК-5.2)</w:t>
      </w:r>
    </w:p>
    <w:p w14:paraId="000FC904" w14:textId="764D06A8" w:rsidR="00640F75" w:rsidRPr="00651072" w:rsidRDefault="00640F75" w:rsidP="001F3D07">
      <w:pPr>
        <w:ind w:firstLine="0"/>
      </w:pPr>
    </w:p>
    <w:p w14:paraId="21D744C5" w14:textId="77777777" w:rsidR="00D40FD8" w:rsidRPr="00651072" w:rsidRDefault="004A6607" w:rsidP="001F3D07">
      <w:pPr>
        <w:ind w:firstLine="0"/>
      </w:pPr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1F3D0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1F3D0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1F3D0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1F3D0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1F3D07">
      <w:pPr>
        <w:ind w:firstLine="0"/>
      </w:pPr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32B8F0D8" w:rsidR="00640F75" w:rsidRPr="00651072" w:rsidRDefault="00D77354" w:rsidP="001F3D07">
      <w:pPr>
        <w:ind w:firstLine="0"/>
      </w:pPr>
      <w:r>
        <w:t>Компетенции (индикаторы): УК 5 (УК-5.1, УК-5.2)</w:t>
      </w:r>
    </w:p>
    <w:p w14:paraId="04054A14" w14:textId="191957AD" w:rsidR="00640F75" w:rsidRDefault="00640F75" w:rsidP="001F3D07">
      <w:pPr>
        <w:ind w:firstLine="0"/>
      </w:pPr>
    </w:p>
    <w:p w14:paraId="460D5113" w14:textId="77777777" w:rsidR="00055E59" w:rsidRDefault="00055E59" w:rsidP="001F3D07">
      <w:pPr>
        <w:ind w:firstLine="0"/>
      </w:pPr>
    </w:p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B30969">
      <w:pPr>
        <w:pStyle w:val="4"/>
        <w:ind w:firstLine="0"/>
      </w:pPr>
      <w:r w:rsidRPr="00433296">
        <w:t>Задания открытого типа на дополнение</w:t>
      </w:r>
    </w:p>
    <w:p w14:paraId="3816975F" w14:textId="75C4FA13" w:rsidR="00D874BB" w:rsidRPr="000539F2" w:rsidRDefault="00D874BB" w:rsidP="00B30969">
      <w:pPr>
        <w:ind w:firstLine="0"/>
        <w:rPr>
          <w:i/>
          <w:iCs/>
        </w:rPr>
      </w:pPr>
      <w:bookmarkStart w:id="10" w:name="_Hlk189828122"/>
      <w:r w:rsidRPr="000539F2">
        <w:rPr>
          <w:i/>
          <w:iCs/>
        </w:rPr>
        <w:t>Напишите пропущенное слово (словосочетание).</w:t>
      </w:r>
    </w:p>
    <w:p w14:paraId="13066A7A" w14:textId="77777777" w:rsidR="001F3D07" w:rsidRDefault="001F3D07" w:rsidP="001F3D07">
      <w:pPr>
        <w:ind w:firstLine="0"/>
      </w:pPr>
    </w:p>
    <w:p w14:paraId="0BD8FD5E" w14:textId="0F217EB4" w:rsidR="001E2325" w:rsidRDefault="00B30969" w:rsidP="001F3D07">
      <w:pPr>
        <w:ind w:firstLine="0"/>
      </w:pPr>
      <w:r>
        <w:t xml:space="preserve">1. </w:t>
      </w:r>
      <w:r w:rsidR="009D196A"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1F3D07">
      <w:pPr>
        <w:ind w:firstLine="0"/>
      </w:pPr>
      <w:r>
        <w:lastRenderedPageBreak/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18D0C333" w:rsidR="00D874BB" w:rsidRDefault="00D77354" w:rsidP="001F3D07">
      <w:pPr>
        <w:ind w:firstLine="0"/>
      </w:pPr>
      <w:r>
        <w:t>Компетенции (индикаторы): УК 5 (УК-5.1, УК-5.2)</w:t>
      </w:r>
    </w:p>
    <w:bookmarkEnd w:id="10"/>
    <w:p w14:paraId="42EF9004" w14:textId="18BB4B05" w:rsidR="00D874BB" w:rsidRDefault="00D874BB" w:rsidP="00D874BB"/>
    <w:p w14:paraId="31413742" w14:textId="75340E7B" w:rsidR="001E2325" w:rsidRDefault="00D169A3" w:rsidP="001F3D07">
      <w:pPr>
        <w:ind w:firstLine="0"/>
      </w:pPr>
      <w:r>
        <w:t xml:space="preserve">2. </w:t>
      </w:r>
      <w:r w:rsidR="001E2325"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1F3D07">
      <w:pPr>
        <w:ind w:firstLine="0"/>
      </w:pPr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2F8BC465" w14:textId="150A42A1" w:rsidR="00D169A3" w:rsidRDefault="00D77354" w:rsidP="001F3D07">
      <w:pPr>
        <w:ind w:firstLine="0"/>
      </w:pPr>
      <w:r>
        <w:t>Компетенции (индикаторы): УК 5 (УК-5.1, УК-5.2)</w:t>
      </w:r>
    </w:p>
    <w:p w14:paraId="6439B8BC" w14:textId="131AD216" w:rsidR="00D169A3" w:rsidRDefault="00D169A3" w:rsidP="00D874BB"/>
    <w:p w14:paraId="045566A0" w14:textId="353A757C" w:rsidR="001E2325" w:rsidRDefault="00470BF5" w:rsidP="001F3D07">
      <w:pPr>
        <w:ind w:firstLine="0"/>
      </w:pPr>
      <w:r>
        <w:t>3</w:t>
      </w:r>
      <w:r w:rsidR="00D169A3">
        <w:t xml:space="preserve">. </w:t>
      </w:r>
      <w:r w:rsidR="001E2325"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F3D07">
      <w:pPr>
        <w:ind w:firstLine="0"/>
      </w:pPr>
      <w:r>
        <w:t>Правильный ответ: институт.</w:t>
      </w:r>
    </w:p>
    <w:p w14:paraId="4C625CAB" w14:textId="48B9FFB7" w:rsidR="00D169A3" w:rsidRDefault="00D77354" w:rsidP="001F3D07">
      <w:pPr>
        <w:ind w:firstLine="0"/>
      </w:pPr>
      <w:r>
        <w:t>Компетенции (индикаторы): УК 5 (УК-5.1, УК-5.2)</w:t>
      </w:r>
    </w:p>
    <w:p w14:paraId="06FA493F" w14:textId="1ADE0A2A" w:rsidR="00D169A3" w:rsidRDefault="00D169A3" w:rsidP="00D874BB"/>
    <w:p w14:paraId="48DA48D7" w14:textId="2411CD7D" w:rsidR="001E2325" w:rsidRDefault="00E37DC0" w:rsidP="001F3D07">
      <w:pPr>
        <w:ind w:firstLine="0"/>
      </w:pPr>
      <w:r>
        <w:t>4</w:t>
      </w:r>
      <w:r w:rsidR="00D169A3">
        <w:t xml:space="preserve">. </w:t>
      </w:r>
      <w:r w:rsidR="001E2325"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1F3D07">
      <w:pPr>
        <w:ind w:firstLine="0"/>
      </w:pPr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209E52A0" w:rsidR="00D169A3" w:rsidRDefault="00D77354" w:rsidP="001F3D07">
      <w:pPr>
        <w:ind w:firstLine="0"/>
      </w:pPr>
      <w:r>
        <w:t>Компетенции (индикаторы): УК 5 (УК-5.1, УК-5.2)</w:t>
      </w:r>
    </w:p>
    <w:p w14:paraId="2CDBAE04" w14:textId="02AF9032" w:rsidR="00776893" w:rsidRDefault="00776893" w:rsidP="00D169A3"/>
    <w:p w14:paraId="1B31A1F9" w14:textId="151E537F" w:rsidR="00874B3E" w:rsidRDefault="00874B3E" w:rsidP="00B30969">
      <w:pPr>
        <w:pStyle w:val="4"/>
        <w:ind w:firstLine="0"/>
      </w:pPr>
      <w:r>
        <w:t>Задания открытого типа с кратким свободным ответом</w:t>
      </w:r>
    </w:p>
    <w:p w14:paraId="37261FFC" w14:textId="77777777" w:rsidR="00B30969" w:rsidRPr="000539F2" w:rsidRDefault="00B30969" w:rsidP="00B30969">
      <w:pPr>
        <w:ind w:firstLine="0"/>
        <w:rPr>
          <w:i/>
          <w:iCs/>
        </w:rPr>
      </w:pPr>
      <w:r w:rsidRPr="000539F2">
        <w:rPr>
          <w:i/>
          <w:iCs/>
        </w:rPr>
        <w:t>Напишите пропущенное слово (словосочетание).</w:t>
      </w:r>
    </w:p>
    <w:p w14:paraId="33AAB673" w14:textId="77777777" w:rsidR="00B30969" w:rsidRPr="00B30969" w:rsidRDefault="00B30969" w:rsidP="00B30969"/>
    <w:p w14:paraId="29E58EAA" w14:textId="14DF0A10" w:rsidR="0050337A" w:rsidRDefault="0050337A" w:rsidP="001F3D07">
      <w:pPr>
        <w:ind w:firstLine="0"/>
      </w:pPr>
      <w:r>
        <w:t xml:space="preserve">1. </w:t>
      </w:r>
      <w:r w:rsidR="001E2325" w:rsidRPr="004367D1">
        <w:rPr>
          <w:rStyle w:val="af4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F3D07">
      <w:pPr>
        <w:pStyle w:val="ae"/>
        <w:tabs>
          <w:tab w:val="left" w:pos="708"/>
        </w:tabs>
        <w:ind w:firstLine="0"/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18D45FE7" w:rsidR="0050337A" w:rsidRDefault="00D77354" w:rsidP="001F3D07">
      <w:pPr>
        <w:ind w:firstLine="0"/>
      </w:pPr>
      <w:r>
        <w:t>Компетенции (индикаторы): УК 5 (УК-5.1, УК-5.2)</w:t>
      </w:r>
    </w:p>
    <w:p w14:paraId="39054009" w14:textId="570A7BC3" w:rsidR="0050337A" w:rsidRDefault="0050337A" w:rsidP="001F3D07">
      <w:pPr>
        <w:ind w:firstLine="0"/>
      </w:pPr>
    </w:p>
    <w:p w14:paraId="0CFF7048" w14:textId="37F468A7" w:rsidR="001E2325" w:rsidRDefault="006047A2" w:rsidP="001F3D07">
      <w:pPr>
        <w:ind w:firstLine="0"/>
      </w:pPr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1F3D07">
      <w:pPr>
        <w:ind w:firstLine="0"/>
      </w:pPr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2A2004C8" w:rsidR="006047A2" w:rsidRDefault="00D77354" w:rsidP="001F3D07">
      <w:pPr>
        <w:ind w:firstLine="0"/>
      </w:pPr>
      <w:r>
        <w:t>Компетенции (индикаторы): УК 5 (УК-5.1, УК-5.2)</w:t>
      </w:r>
    </w:p>
    <w:p w14:paraId="483AC580" w14:textId="09B6F4BA" w:rsidR="006047A2" w:rsidRDefault="006047A2" w:rsidP="001F3D07">
      <w:pPr>
        <w:ind w:firstLine="0"/>
      </w:pPr>
    </w:p>
    <w:p w14:paraId="56A64B2A" w14:textId="1AD2263F" w:rsidR="001E2325" w:rsidRDefault="00F11FDA" w:rsidP="001F3D07">
      <w:pPr>
        <w:ind w:firstLine="0"/>
      </w:pPr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1F3D07">
      <w:pPr>
        <w:ind w:firstLine="0"/>
      </w:pPr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02EC361C" w:rsidR="00F11FDA" w:rsidRDefault="00D77354" w:rsidP="001F3D07">
      <w:pPr>
        <w:ind w:firstLine="0"/>
      </w:pPr>
      <w:r>
        <w:t>Компетенции (индикаторы): УК 5 (УК-5.1, УК-5.2)</w:t>
      </w:r>
    </w:p>
    <w:p w14:paraId="4AD73313" w14:textId="77777777" w:rsidR="00F11FDA" w:rsidRDefault="00F11FDA" w:rsidP="0050337A"/>
    <w:p w14:paraId="232C3FF4" w14:textId="3866A644" w:rsidR="00031894" w:rsidRDefault="001C3A9C" w:rsidP="001F3D07">
      <w:pPr>
        <w:pStyle w:val="ae"/>
        <w:tabs>
          <w:tab w:val="left" w:pos="708"/>
        </w:tabs>
        <w:ind w:firstLine="0"/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F3D07">
      <w:pPr>
        <w:ind w:firstLine="0"/>
      </w:pPr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6E2AAB7D" w:rsidR="001C3A9C" w:rsidRDefault="00D77354" w:rsidP="001F3D07">
      <w:pPr>
        <w:ind w:firstLine="0"/>
      </w:pPr>
      <w:r>
        <w:t>Компетенции (индикаторы): УК 5 (УК-5.1, УК-5.2)</w:t>
      </w:r>
    </w:p>
    <w:p w14:paraId="4775E5C2" w14:textId="77777777" w:rsidR="0050337A" w:rsidRPr="0050337A" w:rsidRDefault="0050337A" w:rsidP="001F3D07">
      <w:pPr>
        <w:ind w:firstLine="0"/>
      </w:pPr>
    </w:p>
    <w:p w14:paraId="0FD241CD" w14:textId="5A1F8CC5" w:rsidR="00A62DE5" w:rsidRDefault="00874B3E" w:rsidP="00830070">
      <w:pPr>
        <w:pStyle w:val="4"/>
        <w:ind w:firstLine="0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1F3D07">
      <w:pPr>
        <w:ind w:firstLine="0"/>
      </w:pPr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1F3D07">
      <w:pPr>
        <w:ind w:firstLine="0"/>
      </w:pPr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1F3D07">
      <w:pPr>
        <w:ind w:firstLine="0"/>
      </w:pPr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1F3D07">
      <w:pPr>
        <w:ind w:firstLine="0"/>
      </w:pPr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40B9645F" w:rsidR="00840510" w:rsidRDefault="00D77354" w:rsidP="001F3D07">
      <w:pPr>
        <w:ind w:firstLine="0"/>
      </w:pPr>
      <w:r>
        <w:t>Компетенции (индикаторы): УК 5 (УК-5.1, УК-5.2)</w:t>
      </w:r>
    </w:p>
    <w:p w14:paraId="268B1ED7" w14:textId="422AF3AC" w:rsidR="00F51BB9" w:rsidRDefault="00F51BB9" w:rsidP="00F51BB9"/>
    <w:p w14:paraId="606C1704" w14:textId="5EA781E6" w:rsidR="00CF300E" w:rsidRDefault="00CF300E" w:rsidP="001F3D07">
      <w:pPr>
        <w:ind w:firstLine="0"/>
      </w:pPr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1F3D07">
      <w:pPr>
        <w:ind w:firstLine="0"/>
      </w:pPr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1F3D07">
      <w:pPr>
        <w:ind w:firstLine="0"/>
      </w:pPr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1F3D07">
      <w:pPr>
        <w:ind w:firstLine="0"/>
      </w:pPr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44066279" w:rsidR="00CF300E" w:rsidRDefault="00D77354" w:rsidP="001F3D07">
      <w:pPr>
        <w:ind w:firstLine="0"/>
      </w:pPr>
      <w:r>
        <w:t>Компетенции (индикаторы): УК 5 (УК-5.1, УК-5.2)</w:t>
      </w:r>
    </w:p>
    <w:p w14:paraId="04D2F7F6" w14:textId="77777777" w:rsidR="00F51BB9" w:rsidRDefault="00F51BB9" w:rsidP="00F51BB9"/>
    <w:p w14:paraId="19B521A1" w14:textId="77777777" w:rsidR="00031894" w:rsidRDefault="00031894" w:rsidP="001F3D07">
      <w:pPr>
        <w:ind w:firstLine="0"/>
      </w:pPr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1F3D07">
      <w:pPr>
        <w:ind w:firstLine="0"/>
      </w:pPr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1F3D07">
      <w:pPr>
        <w:ind w:firstLine="0"/>
      </w:pPr>
      <w:r w:rsidRPr="00FC4F32"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1F3D07">
      <w:pPr>
        <w:ind w:firstLine="0"/>
      </w:pPr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4C33C2F8" w:rsidR="00031894" w:rsidRDefault="00D77354" w:rsidP="001F3D07">
      <w:pPr>
        <w:ind w:firstLine="0"/>
      </w:pPr>
      <w:r>
        <w:t>Компетенции (индикаторы): УК 5 (УК-5.1, УК-5.2)</w:t>
      </w:r>
    </w:p>
    <w:p w14:paraId="64CEE668" w14:textId="77777777" w:rsidR="00031894" w:rsidRDefault="00031894" w:rsidP="001F3D07">
      <w:pPr>
        <w:ind w:firstLine="0"/>
      </w:pPr>
    </w:p>
    <w:p w14:paraId="210A5F9B" w14:textId="49F21B0F" w:rsidR="00C71C99" w:rsidRDefault="00C71C99" w:rsidP="001F3D07">
      <w:pPr>
        <w:ind w:firstLine="0"/>
      </w:pPr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1F3D07">
      <w:pPr>
        <w:ind w:firstLine="0"/>
      </w:pPr>
      <w:r>
        <w:lastRenderedPageBreak/>
        <w:t>Время выполнения – 8 мин.</w:t>
      </w:r>
    </w:p>
    <w:p w14:paraId="3BD03464" w14:textId="26A9FA4D" w:rsidR="00C71C99" w:rsidRDefault="00C71C99" w:rsidP="001F3D07">
      <w:pPr>
        <w:ind w:firstLine="0"/>
      </w:pPr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1F3D07">
      <w:pPr>
        <w:ind w:firstLine="0"/>
      </w:pPr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3473EB6D" w:rsidR="00C71C99" w:rsidRDefault="00D77354" w:rsidP="001F3D07">
      <w:pPr>
        <w:ind w:firstLine="0"/>
      </w:pPr>
      <w:r>
        <w:t>Компетенции (индикаторы): УК 5 (УК-5.1, УК-5.2)</w:t>
      </w:r>
      <w:bookmarkStart w:id="11" w:name="_GoBack"/>
      <w:bookmarkEnd w:id="11"/>
    </w:p>
    <w:sectPr w:rsidR="00C71C9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EA5F2" w14:textId="77777777" w:rsidR="00926398" w:rsidRDefault="00926398" w:rsidP="006943A0">
      <w:r>
        <w:separator/>
      </w:r>
    </w:p>
  </w:endnote>
  <w:endnote w:type="continuationSeparator" w:id="0">
    <w:p w14:paraId="6BC90054" w14:textId="77777777" w:rsidR="00926398" w:rsidRDefault="0092639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F2CC6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D85AA" w14:textId="77777777" w:rsidR="00926398" w:rsidRDefault="00926398" w:rsidP="006943A0">
      <w:r>
        <w:separator/>
      </w:r>
    </w:p>
  </w:footnote>
  <w:footnote w:type="continuationSeparator" w:id="0">
    <w:p w14:paraId="6E0A8D5C" w14:textId="77777777" w:rsidR="00926398" w:rsidRDefault="00926398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31894"/>
    <w:rsid w:val="000539F2"/>
    <w:rsid w:val="00055E59"/>
    <w:rsid w:val="0006311A"/>
    <w:rsid w:val="00080CA9"/>
    <w:rsid w:val="00095C56"/>
    <w:rsid w:val="000A7ADF"/>
    <w:rsid w:val="000D01B5"/>
    <w:rsid w:val="000F2CC6"/>
    <w:rsid w:val="00172F27"/>
    <w:rsid w:val="001824D3"/>
    <w:rsid w:val="00191CF7"/>
    <w:rsid w:val="001C3A9C"/>
    <w:rsid w:val="001E2325"/>
    <w:rsid w:val="001E32AF"/>
    <w:rsid w:val="001F3D07"/>
    <w:rsid w:val="002103A3"/>
    <w:rsid w:val="0023607F"/>
    <w:rsid w:val="00271063"/>
    <w:rsid w:val="002A0645"/>
    <w:rsid w:val="002A35C6"/>
    <w:rsid w:val="002B3406"/>
    <w:rsid w:val="002C0F9C"/>
    <w:rsid w:val="002C4C2C"/>
    <w:rsid w:val="002D3BDA"/>
    <w:rsid w:val="002D532D"/>
    <w:rsid w:val="002F20EB"/>
    <w:rsid w:val="002F47FF"/>
    <w:rsid w:val="00341F0F"/>
    <w:rsid w:val="00347C37"/>
    <w:rsid w:val="00421A76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27945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40F74"/>
    <w:rsid w:val="00776854"/>
    <w:rsid w:val="00776893"/>
    <w:rsid w:val="00791EC5"/>
    <w:rsid w:val="008159DB"/>
    <w:rsid w:val="00830070"/>
    <w:rsid w:val="00834CE4"/>
    <w:rsid w:val="00840510"/>
    <w:rsid w:val="00851238"/>
    <w:rsid w:val="00874B3E"/>
    <w:rsid w:val="008C1727"/>
    <w:rsid w:val="008C74E9"/>
    <w:rsid w:val="008D60A8"/>
    <w:rsid w:val="008D77C8"/>
    <w:rsid w:val="008E2DDD"/>
    <w:rsid w:val="00901FED"/>
    <w:rsid w:val="0091443C"/>
    <w:rsid w:val="0092015D"/>
    <w:rsid w:val="00926398"/>
    <w:rsid w:val="0094428B"/>
    <w:rsid w:val="0095688A"/>
    <w:rsid w:val="009B6C90"/>
    <w:rsid w:val="009D196A"/>
    <w:rsid w:val="009F744D"/>
    <w:rsid w:val="00A00792"/>
    <w:rsid w:val="00A07227"/>
    <w:rsid w:val="00A16E9F"/>
    <w:rsid w:val="00A528C0"/>
    <w:rsid w:val="00A62DE5"/>
    <w:rsid w:val="00A82E8E"/>
    <w:rsid w:val="00A9116E"/>
    <w:rsid w:val="00A93D69"/>
    <w:rsid w:val="00AA6323"/>
    <w:rsid w:val="00AA7FCE"/>
    <w:rsid w:val="00AB08FD"/>
    <w:rsid w:val="00AC1C46"/>
    <w:rsid w:val="00AD2DFE"/>
    <w:rsid w:val="00AD4B9F"/>
    <w:rsid w:val="00AD7916"/>
    <w:rsid w:val="00AE1ABB"/>
    <w:rsid w:val="00AF2AD9"/>
    <w:rsid w:val="00B30969"/>
    <w:rsid w:val="00B30A5F"/>
    <w:rsid w:val="00B5777E"/>
    <w:rsid w:val="00B60BB6"/>
    <w:rsid w:val="00B65645"/>
    <w:rsid w:val="00B7649F"/>
    <w:rsid w:val="00B83B9A"/>
    <w:rsid w:val="00B85726"/>
    <w:rsid w:val="00BB2661"/>
    <w:rsid w:val="00BB4E23"/>
    <w:rsid w:val="00BD0D49"/>
    <w:rsid w:val="00BD2D7E"/>
    <w:rsid w:val="00BD5CF0"/>
    <w:rsid w:val="00BE70D1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77354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91C57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9DA80-9110-4AFC-AC64-4ED64BEE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ADMIN</cp:lastModifiedBy>
  <cp:revision>21</cp:revision>
  <dcterms:created xsi:type="dcterms:W3CDTF">2025-02-23T14:57:00Z</dcterms:created>
  <dcterms:modified xsi:type="dcterms:W3CDTF">2025-03-20T14:37:00Z</dcterms:modified>
</cp:coreProperties>
</file>