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EEFC" w14:textId="29C7A70F" w:rsidR="00A1374E" w:rsidRPr="00A1374E" w:rsidRDefault="00A1374E" w:rsidP="00CA2CC2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Комплект оценочных материалов</w:t>
      </w:r>
    </w:p>
    <w:p w14:paraId="4B7438C6" w14:textId="77777777" w:rsidR="00A1374E" w:rsidRPr="00A1374E" w:rsidRDefault="00A1374E" w:rsidP="00CA2CC2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по «Учебной (ознакомительной) практике»</w:t>
      </w:r>
    </w:p>
    <w:p w14:paraId="44B2EE1A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F65440C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0AF049B8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3F48C4A7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65AD05F8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9CAE9FD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387F6228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eastAsia="SimSun" w:hAnsi="Times New Roman"/>
          <w:sz w:val="28"/>
          <w:szCs w:val="28"/>
        </w:rPr>
        <w:t>Обязан ли руководитель организации ежегодно утверждать новую учетную политику:</w:t>
      </w:r>
    </w:p>
    <w:p w14:paraId="09E56ACE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eastAsia="SimSun" w:hAnsi="Times New Roman"/>
          <w:sz w:val="28"/>
          <w:szCs w:val="28"/>
        </w:rPr>
        <w:t>А) да, так как в учетной политике постоянно происходят изменения</w:t>
      </w:r>
    </w:p>
    <w:p w14:paraId="413F253F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SimSun" w:hAnsi="Times New Roman"/>
          <w:sz w:val="28"/>
          <w:szCs w:val="28"/>
        </w:rPr>
        <w:t>Б) нет</w:t>
      </w:r>
    </w:p>
    <w:p w14:paraId="2E84B582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В) </w:t>
      </w:r>
      <w:r w:rsidRPr="00A1374E">
        <w:rPr>
          <w:rFonts w:ascii="Times New Roman" w:hAnsi="Times New Roman"/>
          <w:sz w:val="28"/>
          <w:szCs w:val="28"/>
          <w:lang w:eastAsia="en-US"/>
        </w:rPr>
        <w:t xml:space="preserve">нет, </w:t>
      </w:r>
      <w:r w:rsidRPr="00A1374E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каждый год утверждать новую учетную политику не надо,</w:t>
      </w:r>
      <w:r w:rsidRPr="00A1374E">
        <w:rPr>
          <w:rFonts w:ascii="Times New Roman" w:hAnsi="Times New Roman"/>
          <w:sz w:val="28"/>
          <w:szCs w:val="28"/>
          <w:lang w:eastAsia="en-US"/>
        </w:rPr>
        <w:t xml:space="preserve"> она </w:t>
      </w:r>
      <w:r w:rsidRPr="00A1374E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создается один раз на этапе регистрации организации и если в законодательстве произошли кардинальные изменения, надо просто внести поправки в действующий документ</w:t>
      </w:r>
    </w:p>
    <w:p w14:paraId="34340AFA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51FE3567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В</w:t>
      </w:r>
    </w:p>
    <w:p w14:paraId="205393ED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415EA6F7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7383096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2</w:t>
      </w: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1ACE90B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hAnsi="Times New Roman"/>
          <w:color w:val="181818"/>
          <w:sz w:val="28"/>
          <w:szCs w:val="28"/>
          <w:shd w:val="clear" w:color="auto" w:fill="FFFFFF"/>
          <w:lang w:eastAsia="en-US"/>
        </w:rPr>
        <w:t>Счет предназначен для обобщения информации о наличии и движении основных средств организации, находящихся в эксплуатации, запасе, на консервации, в аренде, доверительном управлении</w:t>
      </w:r>
      <w:r w:rsidRPr="00A1374E">
        <w:rPr>
          <w:rFonts w:ascii="Times New Roman" w:eastAsia="SimSun" w:hAnsi="Times New Roman"/>
          <w:sz w:val="28"/>
          <w:szCs w:val="28"/>
        </w:rPr>
        <w:t>:</w:t>
      </w:r>
    </w:p>
    <w:p w14:paraId="1175432F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eastAsia="SimSun" w:hAnsi="Times New Roman"/>
          <w:sz w:val="28"/>
          <w:szCs w:val="28"/>
        </w:rPr>
        <w:t>А) 01</w:t>
      </w:r>
    </w:p>
    <w:p w14:paraId="5A9F2309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eastAsia="SimSun" w:hAnsi="Times New Roman"/>
          <w:sz w:val="28"/>
          <w:szCs w:val="28"/>
        </w:rPr>
        <w:t>Б) 08</w:t>
      </w:r>
    </w:p>
    <w:p w14:paraId="260FFC9E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eastAsia="SimSun" w:hAnsi="Times New Roman"/>
          <w:sz w:val="28"/>
          <w:szCs w:val="28"/>
        </w:rPr>
        <w:t>В) 02</w:t>
      </w:r>
    </w:p>
    <w:p w14:paraId="14FE33DB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7718103A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71337FB2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FB6CEF7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3</w:t>
      </w: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032ECAF3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A1374E">
        <w:rPr>
          <w:rFonts w:ascii="Times New Roman" w:hAnsi="Times New Roman"/>
          <w:color w:val="181818"/>
          <w:sz w:val="28"/>
          <w:szCs w:val="28"/>
          <w:shd w:val="clear" w:color="auto" w:fill="FFFFFF"/>
          <w:lang w:eastAsia="en-US"/>
        </w:rPr>
        <w:t>Счет предназначен для обобщения информации об амортизации, накопленной за время эксплуатации объектов основных средств</w:t>
      </w:r>
      <w:r w:rsidRPr="00A1374E">
        <w:rPr>
          <w:rFonts w:ascii="Times New Roman" w:eastAsia="Helvetica-Bold" w:hAnsi="Times New Roman"/>
          <w:sz w:val="28"/>
          <w:szCs w:val="28"/>
        </w:rPr>
        <w:t>:</w:t>
      </w:r>
    </w:p>
    <w:p w14:paraId="352C915D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eastAsia="SimSun" w:hAnsi="Times New Roman"/>
          <w:sz w:val="28"/>
          <w:szCs w:val="28"/>
        </w:rPr>
        <w:t>А) 01</w:t>
      </w:r>
    </w:p>
    <w:p w14:paraId="09D16266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eastAsia="SimSun" w:hAnsi="Times New Roman"/>
          <w:sz w:val="28"/>
          <w:szCs w:val="28"/>
        </w:rPr>
        <w:t>Б) 08</w:t>
      </w:r>
    </w:p>
    <w:p w14:paraId="40B8A3B8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A1374E">
        <w:rPr>
          <w:rFonts w:ascii="Times New Roman" w:eastAsia="SimSun" w:hAnsi="Times New Roman"/>
          <w:sz w:val="28"/>
          <w:szCs w:val="28"/>
        </w:rPr>
        <w:t>В) 02</w:t>
      </w:r>
    </w:p>
    <w:p w14:paraId="35C5F26A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В</w:t>
      </w:r>
    </w:p>
    <w:p w14:paraId="05F18FF2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1F2BFCAD" w14:textId="412C2008" w:rsidR="00A1374E" w:rsidRDefault="00A1374E" w:rsidP="00A1374E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4D5B12A" w14:textId="24FA856E" w:rsidR="00A54604" w:rsidRDefault="00A54604" w:rsidP="00A1374E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9DD9963" w14:textId="05524F4C" w:rsidR="00A54604" w:rsidRDefault="00A54604" w:rsidP="00A1374E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1B8D267" w14:textId="77777777" w:rsidR="00A54604" w:rsidRPr="00A1374E" w:rsidRDefault="00A54604" w:rsidP="00A1374E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5893071" w14:textId="231D96BA" w:rsidR="00A1374E" w:rsidRPr="00A1374E" w:rsidRDefault="00A1374E" w:rsidP="00A1374E">
      <w:pPr>
        <w:spacing w:after="160" w:line="278" w:lineRule="auto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соответствия</w:t>
      </w:r>
    </w:p>
    <w:p w14:paraId="2B1456B6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464F611A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основными видами учетной политики и их определениями. </w:t>
      </w:r>
      <w:r w:rsidRPr="00A1374E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1374E" w:rsidRPr="00A1374E" w14:paraId="2E95A1FA" w14:textId="77777777" w:rsidTr="00D53A3B">
        <w:tc>
          <w:tcPr>
            <w:tcW w:w="3510" w:type="dxa"/>
            <w:gridSpan w:val="2"/>
          </w:tcPr>
          <w:p w14:paraId="6E4D0C3E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sz w:val="28"/>
                <w:szCs w:val="28"/>
              </w:rPr>
              <w:t>Вид учетной политики</w:t>
            </w:r>
          </w:p>
        </w:tc>
        <w:tc>
          <w:tcPr>
            <w:tcW w:w="6379" w:type="dxa"/>
            <w:gridSpan w:val="2"/>
          </w:tcPr>
          <w:p w14:paraId="1CDB92A6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A1374E" w:rsidRPr="00A1374E" w14:paraId="3A0C89EC" w14:textId="77777777" w:rsidTr="00D53A3B">
        <w:tc>
          <w:tcPr>
            <w:tcW w:w="534" w:type="dxa"/>
          </w:tcPr>
          <w:p w14:paraId="3D73CC16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ind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E6940C9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Бухгалтерская учетная политики</w:t>
            </w:r>
          </w:p>
        </w:tc>
        <w:tc>
          <w:tcPr>
            <w:tcW w:w="567" w:type="dxa"/>
          </w:tcPr>
          <w:p w14:paraId="46E71BDC" w14:textId="77777777" w:rsidR="00A1374E" w:rsidRPr="00A1374E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B24B3A5" w14:textId="77777777" w:rsidR="00A1374E" w:rsidRPr="00A1374E" w:rsidRDefault="00A1374E" w:rsidP="00A137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kern w:val="2"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используется в работе с налогами (для целей налогообложения)</w:t>
            </w:r>
          </w:p>
        </w:tc>
      </w:tr>
      <w:tr w:rsidR="00A1374E" w:rsidRPr="00A1374E" w14:paraId="36C15236" w14:textId="77777777" w:rsidTr="00D53A3B">
        <w:tc>
          <w:tcPr>
            <w:tcW w:w="534" w:type="dxa"/>
          </w:tcPr>
          <w:p w14:paraId="0E13F96E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F54AA82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Налоговая учетная политика</w:t>
            </w:r>
          </w:p>
        </w:tc>
        <w:tc>
          <w:tcPr>
            <w:tcW w:w="567" w:type="dxa"/>
          </w:tcPr>
          <w:p w14:paraId="5E1E03E2" w14:textId="77777777" w:rsidR="00A1374E" w:rsidRPr="00A1374E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087D9F5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используется в бухгалтерских процессах (для целей бухгалтерского учета)</w:t>
            </w:r>
          </w:p>
        </w:tc>
      </w:tr>
    </w:tbl>
    <w:p w14:paraId="73F59C1C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1-Б, 2-А</w:t>
      </w:r>
    </w:p>
    <w:p w14:paraId="3072E3B2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4295F184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D5F243B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названием программных продуктов для бухгалтерской сферы и их характеристиками. </w:t>
      </w:r>
      <w:r w:rsidRPr="00A1374E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1374E" w:rsidRPr="00A1374E" w14:paraId="39E090FA" w14:textId="77777777" w:rsidTr="00D53A3B">
        <w:tc>
          <w:tcPr>
            <w:tcW w:w="3510" w:type="dxa"/>
            <w:gridSpan w:val="2"/>
          </w:tcPr>
          <w:p w14:paraId="15FDA5A8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sz w:val="28"/>
                <w:szCs w:val="28"/>
              </w:rPr>
              <w:t>Название программного продукта</w:t>
            </w:r>
          </w:p>
        </w:tc>
        <w:tc>
          <w:tcPr>
            <w:tcW w:w="6379" w:type="dxa"/>
            <w:gridSpan w:val="2"/>
          </w:tcPr>
          <w:p w14:paraId="3EC8D6AD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sz w:val="28"/>
                <w:szCs w:val="28"/>
              </w:rPr>
              <w:t>Характеристика программного продукта</w:t>
            </w:r>
          </w:p>
        </w:tc>
      </w:tr>
      <w:tr w:rsidR="00A1374E" w:rsidRPr="00A1374E" w14:paraId="0311527E" w14:textId="77777777" w:rsidTr="00D53A3B">
        <w:tc>
          <w:tcPr>
            <w:tcW w:w="534" w:type="dxa"/>
          </w:tcPr>
          <w:p w14:paraId="77269066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D7E8122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«</w:t>
            </w:r>
            <w:proofErr w:type="spellStart"/>
            <w:r w:rsidRPr="00A1374E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МойСклад</w:t>
            </w:r>
            <w:proofErr w:type="spellEnd"/>
            <w:r w:rsidRPr="00A1374E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567" w:type="dxa"/>
          </w:tcPr>
          <w:p w14:paraId="192CB45E" w14:textId="77777777" w:rsidR="00A1374E" w:rsidRPr="00A1374E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3104AC5" w14:textId="77777777" w:rsidR="00A1374E" w:rsidRPr="00A1374E" w:rsidRDefault="00A1374E" w:rsidP="00A1374E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en-US"/>
              </w:rPr>
            </w:pPr>
            <w:r w:rsidRPr="00A1374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бесплатная бухгалтерская программа с полным набором опций. В ней возможно вести учёт доходов и расходов, подготавливать отчёты и справки, оптимизировать налоги.</w:t>
            </w:r>
          </w:p>
        </w:tc>
      </w:tr>
      <w:tr w:rsidR="00A1374E" w:rsidRPr="00A1374E" w14:paraId="76927563" w14:textId="77777777" w:rsidTr="00D53A3B">
        <w:tc>
          <w:tcPr>
            <w:tcW w:w="534" w:type="dxa"/>
          </w:tcPr>
          <w:p w14:paraId="4A9666F7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6F8FE9C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«1С:Бухгалтерия»</w:t>
            </w:r>
          </w:p>
        </w:tc>
        <w:tc>
          <w:tcPr>
            <w:tcW w:w="567" w:type="dxa"/>
          </w:tcPr>
          <w:p w14:paraId="194C47DE" w14:textId="77777777" w:rsidR="00A1374E" w:rsidRPr="00A1374E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E6DD509" w14:textId="77777777" w:rsidR="00A1374E" w:rsidRPr="00A1374E" w:rsidRDefault="00A1374E" w:rsidP="00A1374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A1374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программа для автоматизации процесса формирования отчётов. Её можно скачать бесплатно с сайта налоговой службы. Программа формирует бухгалтерскую и налоговую отчётность, зарплатные отчёты и расчёты по страховым взносам, документы для регистрации ККТ и другие документы. </w:t>
            </w:r>
          </w:p>
        </w:tc>
      </w:tr>
      <w:tr w:rsidR="00A1374E" w:rsidRPr="00A1374E" w14:paraId="095AE52E" w14:textId="77777777" w:rsidTr="00D53A3B">
        <w:tc>
          <w:tcPr>
            <w:tcW w:w="534" w:type="dxa"/>
          </w:tcPr>
          <w:p w14:paraId="6BAE3CDD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661EBB0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«Бухгалтерия 365»</w:t>
            </w:r>
          </w:p>
        </w:tc>
        <w:tc>
          <w:tcPr>
            <w:tcW w:w="567" w:type="dxa"/>
          </w:tcPr>
          <w:p w14:paraId="459B8D16" w14:textId="77777777" w:rsidR="00A1374E" w:rsidRPr="00A1374E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B807023" w14:textId="77777777" w:rsidR="00A1374E" w:rsidRPr="00A1374E" w:rsidRDefault="00A1374E" w:rsidP="00A1374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A1374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облачная программа для управления складом, торговлей и бухгалтерией. Помогает автоматизировать учётные задачи, включая запись операций, создание счетов, отслеживание поступлений и расходов, формирование финансовой отчётности, уплату налогов</w:t>
            </w:r>
          </w:p>
        </w:tc>
      </w:tr>
      <w:tr w:rsidR="00A1374E" w:rsidRPr="00A1374E" w14:paraId="1F6C9619" w14:textId="77777777" w:rsidTr="00D53A3B">
        <w:tc>
          <w:tcPr>
            <w:tcW w:w="534" w:type="dxa"/>
          </w:tcPr>
          <w:p w14:paraId="7F16CFED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2933BC79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«Бухгалтерия для всех»</w:t>
            </w:r>
          </w:p>
        </w:tc>
        <w:tc>
          <w:tcPr>
            <w:tcW w:w="567" w:type="dxa"/>
          </w:tcPr>
          <w:p w14:paraId="40D22DB9" w14:textId="77777777" w:rsidR="00A1374E" w:rsidRPr="00A1374E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A30DBC9" w14:textId="77777777" w:rsidR="00A1374E" w:rsidRPr="00A1374E" w:rsidRDefault="00A1374E" w:rsidP="00A1374E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en-US"/>
              </w:rPr>
            </w:pPr>
            <w:r w:rsidRPr="00A1374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популярная программа для автоматизации бухгалтерского и налогового учёта. Позволяет собирать данные о финансово-хозяйственной деятельности, формировать первичные бухгалтерские документы, рассчитывать налоги, подготавливать отчёты для государственных органов</w:t>
            </w:r>
          </w:p>
        </w:tc>
      </w:tr>
      <w:tr w:rsidR="00A1374E" w:rsidRPr="00A1374E" w14:paraId="1808F3FA" w14:textId="77777777" w:rsidTr="00D53A3B">
        <w:tc>
          <w:tcPr>
            <w:tcW w:w="534" w:type="dxa"/>
          </w:tcPr>
          <w:p w14:paraId="23C6FC06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2976" w:type="dxa"/>
          </w:tcPr>
          <w:p w14:paraId="23BF3BD6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  <w:t>«Налогоплательщик ЮЛ»</w:t>
            </w:r>
          </w:p>
        </w:tc>
        <w:tc>
          <w:tcPr>
            <w:tcW w:w="567" w:type="dxa"/>
          </w:tcPr>
          <w:p w14:paraId="7A67496B" w14:textId="77777777" w:rsidR="00A1374E" w:rsidRPr="00A1374E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eastAsia="Times New Roman" w:hAnsi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6778956A" w14:textId="77777777" w:rsidR="00A1374E" w:rsidRPr="00A1374E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1374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eastAsia="en-US"/>
              </w:rPr>
              <w:t>облачная программа для бухгалтерии и управления бизнесом, которая интегрируется с Microsoft 365. Помогает бухгалтерам и финансистам эффективно вести бухгалтерский учёт, планирование и анализ, налогообложение, ценообразование и управление денежными средствами.</w:t>
            </w:r>
          </w:p>
        </w:tc>
      </w:tr>
    </w:tbl>
    <w:p w14:paraId="39ACF7BC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2-Г, 3-Д, 4-А, 5-Б</w:t>
      </w:r>
    </w:p>
    <w:p w14:paraId="3BA8B393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51FDE4CB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en-US"/>
        </w:rPr>
        <w:t xml:space="preserve"> </w:t>
      </w:r>
    </w:p>
    <w:p w14:paraId="143F2A26" w14:textId="77777777" w:rsidR="00A1374E" w:rsidRPr="00775026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775026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наименованием нормативного акта и реквизитами приказа, которым он введен в действие. </w:t>
      </w:r>
      <w:r w:rsidRPr="00775026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775026" w:rsidRPr="00775026" w14:paraId="7EE92856" w14:textId="77777777" w:rsidTr="00D53A3B">
        <w:tc>
          <w:tcPr>
            <w:tcW w:w="3510" w:type="dxa"/>
            <w:gridSpan w:val="2"/>
          </w:tcPr>
          <w:p w14:paraId="5640A495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026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Наименование нормативного акта</w:t>
            </w:r>
          </w:p>
        </w:tc>
        <w:tc>
          <w:tcPr>
            <w:tcW w:w="6379" w:type="dxa"/>
            <w:gridSpan w:val="2"/>
          </w:tcPr>
          <w:p w14:paraId="08F6CB7D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026">
              <w:rPr>
                <w:rFonts w:ascii="Times New Roman" w:eastAsia="Aptos" w:hAnsi="Times New Roman"/>
                <w:iCs/>
                <w:kern w:val="2"/>
                <w:sz w:val="28"/>
                <w:szCs w:val="28"/>
                <w:lang w:eastAsia="en-US"/>
              </w:rPr>
              <w:t>Реквизиты приказа, которым введен в действие</w:t>
            </w:r>
          </w:p>
        </w:tc>
      </w:tr>
      <w:tr w:rsidR="00775026" w:rsidRPr="00775026" w14:paraId="7EAE8CE5" w14:textId="77777777" w:rsidTr="00D53A3B">
        <w:tc>
          <w:tcPr>
            <w:tcW w:w="534" w:type="dxa"/>
          </w:tcPr>
          <w:p w14:paraId="51BD78B5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CCC8F31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Helvetica-Bold" w:hAnsi="Times New Roman"/>
                <w:sz w:val="28"/>
                <w:szCs w:val="28"/>
              </w:rPr>
              <w:t>ПБУ 1/2008 «Учетная политика организации»</w:t>
            </w:r>
          </w:p>
        </w:tc>
        <w:tc>
          <w:tcPr>
            <w:tcW w:w="567" w:type="dxa"/>
          </w:tcPr>
          <w:p w14:paraId="7E9E4A07" w14:textId="77777777" w:rsidR="00A1374E" w:rsidRPr="00775026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98AD8DE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06.05.1999 № 32н</w:t>
            </w:r>
          </w:p>
        </w:tc>
      </w:tr>
      <w:tr w:rsidR="00775026" w:rsidRPr="00775026" w14:paraId="34EE3F2F" w14:textId="77777777" w:rsidTr="00D53A3B">
        <w:tc>
          <w:tcPr>
            <w:tcW w:w="534" w:type="dxa"/>
          </w:tcPr>
          <w:p w14:paraId="09601BA4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7110C2A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bCs/>
                <w:sz w:val="28"/>
                <w:szCs w:val="28"/>
              </w:rPr>
              <w:t>ПБУ 9/99 «Доходы организации»</w:t>
            </w:r>
          </w:p>
        </w:tc>
        <w:tc>
          <w:tcPr>
            <w:tcW w:w="567" w:type="dxa"/>
          </w:tcPr>
          <w:p w14:paraId="740C79D3" w14:textId="77777777" w:rsidR="00A1374E" w:rsidRPr="00775026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DAA9A4D" w14:textId="28D4A7C1" w:rsidR="00A1374E" w:rsidRPr="00775026" w:rsidRDefault="00775026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31.10.2000 № 94 н</w:t>
            </w:r>
          </w:p>
        </w:tc>
      </w:tr>
      <w:tr w:rsidR="00775026" w:rsidRPr="00775026" w14:paraId="1FC338D3" w14:textId="77777777" w:rsidTr="00D53A3B">
        <w:tc>
          <w:tcPr>
            <w:tcW w:w="534" w:type="dxa"/>
          </w:tcPr>
          <w:p w14:paraId="32FAC54B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596F9234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счетов</w:t>
            </w:r>
          </w:p>
        </w:tc>
        <w:tc>
          <w:tcPr>
            <w:tcW w:w="567" w:type="dxa"/>
          </w:tcPr>
          <w:p w14:paraId="2848CB6E" w14:textId="77777777" w:rsidR="00A1374E" w:rsidRPr="00775026" w:rsidRDefault="00A1374E" w:rsidP="00A1374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BB0FC14" w14:textId="77777777" w:rsidR="00A1374E" w:rsidRPr="00775026" w:rsidRDefault="00A1374E" w:rsidP="00A1374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75026">
              <w:rPr>
                <w:rFonts w:ascii="Times New Roman" w:eastAsia="Times New Roman" w:hAnsi="Times New Roman"/>
                <w:sz w:val="28"/>
                <w:szCs w:val="28"/>
              </w:rPr>
              <w:t>Приказ Минфина от 06.10.2008 № 106н</w:t>
            </w:r>
          </w:p>
        </w:tc>
      </w:tr>
    </w:tbl>
    <w:p w14:paraId="587A9811" w14:textId="50CA75BF" w:rsidR="00A1374E" w:rsidRPr="00775026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775026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2-А, 3-</w:t>
      </w:r>
      <w:r w:rsidR="00775026">
        <w:rPr>
          <w:rFonts w:ascii="Times New Roman" w:eastAsia="Aptos" w:hAnsi="Times New Roman"/>
          <w:kern w:val="2"/>
          <w:sz w:val="28"/>
          <w:szCs w:val="28"/>
          <w:lang w:eastAsia="en-US"/>
        </w:rPr>
        <w:t>Б</w:t>
      </w:r>
    </w:p>
    <w:p w14:paraId="72289FF6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775026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</w:t>
      </w: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-1.2); ОПК-1 (ОПК-1.1, ОПК-1.2); ПК-1 (ПК-1.1, ПК-1.2, ПК-1.3)</w:t>
      </w:r>
    </w:p>
    <w:p w14:paraId="79059139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5A131EA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7404C1BC" w14:textId="77777777" w:rsidR="00A1374E" w:rsidRPr="00A1374E" w:rsidRDefault="00A1374E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589406E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1. </w:t>
      </w:r>
      <w:r w:rsidRPr="00A1374E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 источников в</w:t>
      </w:r>
      <w:r w:rsidRPr="00A1374E"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структуре списка литературы отчета по практике</w:t>
      </w:r>
      <w:r w:rsidRPr="00A1374E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2D79B4F9" w14:textId="77777777" w:rsidR="00A1374E" w:rsidRPr="00A1374E" w:rsidRDefault="00A1374E" w:rsidP="00A1374E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А) </w:t>
      </w:r>
      <w:r w:rsidRPr="00A137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en-US"/>
        </w:rPr>
        <w:t>учебная литература</w:t>
      </w:r>
    </w:p>
    <w:p w14:paraId="3120756C" w14:textId="77777777" w:rsidR="00A1374E" w:rsidRPr="00A1374E" w:rsidRDefault="00A1374E" w:rsidP="00A1374E">
      <w:pPr>
        <w:spacing w:after="0" w:line="240" w:lineRule="auto"/>
        <w:contextualSpacing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en-US"/>
        </w:rPr>
      </w:pPr>
      <w:r w:rsidRPr="00A1374E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Б) </w:t>
      </w:r>
      <w:r w:rsidRPr="00A137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en-US"/>
        </w:rPr>
        <w:t>периодические издания и научная литература</w:t>
      </w:r>
    </w:p>
    <w:p w14:paraId="45457638" w14:textId="77777777" w:rsidR="00A1374E" w:rsidRPr="00A1374E" w:rsidRDefault="00A1374E" w:rsidP="00A1374E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en-US"/>
        </w:rPr>
        <w:t>В) интернет ресурсы</w:t>
      </w:r>
    </w:p>
    <w:p w14:paraId="14D50ED9" w14:textId="77777777" w:rsidR="00A1374E" w:rsidRPr="00A1374E" w:rsidRDefault="00A1374E" w:rsidP="00A1374E">
      <w:pPr>
        <w:spacing w:after="0" w:line="240" w:lineRule="auto"/>
        <w:contextualSpacing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Г) </w:t>
      </w:r>
      <w:r w:rsidRPr="00A137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en-US"/>
        </w:rPr>
        <w:t>законодательство и нормативные акты</w:t>
      </w:r>
    </w:p>
    <w:p w14:paraId="4C11C03D" w14:textId="6276EDD2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A54604">
        <w:rPr>
          <w:rFonts w:ascii="Times New Roman" w:eastAsia="Aptos" w:hAnsi="Times New Roman"/>
          <w:kern w:val="2"/>
          <w:sz w:val="28"/>
          <w:szCs w:val="28"/>
          <w:lang w:eastAsia="en-US"/>
        </w:rPr>
        <w:t>Г, А, Б, В</w:t>
      </w:r>
    </w:p>
    <w:p w14:paraId="64985DF8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4459D301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5009405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разделов должностной инструкции бухгалтеров. Запишите правильную последовательность букв слева направо:</w:t>
      </w:r>
    </w:p>
    <w:p w14:paraId="423B68AC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A1374E">
        <w:rPr>
          <w:rFonts w:ascii="Times New Roman" w:hAnsi="Times New Roman"/>
          <w:sz w:val="28"/>
          <w:szCs w:val="28"/>
          <w:lang w:eastAsia="en-US"/>
        </w:rPr>
        <w:t>должностные обязанности</w:t>
      </w:r>
      <w:r w:rsidRPr="00A1374E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14:paraId="7C2B54B0" w14:textId="77777777" w:rsidR="00A1374E" w:rsidRPr="00A1374E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A1374E">
        <w:rPr>
          <w:rFonts w:ascii="Times New Roman" w:hAnsi="Times New Roman"/>
          <w:sz w:val="28"/>
          <w:szCs w:val="28"/>
          <w:lang w:eastAsia="en-US"/>
        </w:rPr>
        <w:t>ответственность</w:t>
      </w:r>
    </w:p>
    <w:p w14:paraId="255CEBB6" w14:textId="77777777" w:rsidR="00A1374E" w:rsidRPr="00A1374E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eastAsia="Times New Roman" w:hAnsi="Times New Roman"/>
          <w:sz w:val="28"/>
          <w:szCs w:val="28"/>
        </w:rPr>
        <w:lastRenderedPageBreak/>
        <w:t xml:space="preserve">В) </w:t>
      </w:r>
      <w:r w:rsidRPr="00A1374E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14:paraId="78CB5DAF" w14:textId="77777777" w:rsidR="00A1374E" w:rsidRPr="00A1374E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hAnsi="Times New Roman"/>
          <w:sz w:val="28"/>
          <w:szCs w:val="28"/>
          <w:lang w:eastAsia="en-US"/>
        </w:rPr>
        <w:t>Г) права</w:t>
      </w:r>
    </w:p>
    <w:p w14:paraId="2CD60819" w14:textId="77777777" w:rsidR="00A1374E" w:rsidRPr="00A1374E" w:rsidRDefault="00A1374E" w:rsidP="00A1374E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hAnsi="Times New Roman"/>
          <w:sz w:val="28"/>
          <w:szCs w:val="28"/>
          <w:lang w:eastAsia="en-US"/>
        </w:rPr>
        <w:t>Д) квалификационные требования</w:t>
      </w:r>
    </w:p>
    <w:p w14:paraId="14EFC41A" w14:textId="6D087BB9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A54604">
        <w:rPr>
          <w:rFonts w:ascii="Times New Roman" w:eastAsia="Aptos" w:hAnsi="Times New Roman"/>
          <w:kern w:val="2"/>
          <w:sz w:val="28"/>
          <w:szCs w:val="28"/>
          <w:lang w:eastAsia="en-US"/>
        </w:rPr>
        <w:t>В, Д, А, Г, Б</w:t>
      </w:r>
    </w:p>
    <w:p w14:paraId="49C05931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732A9BD7" w14:textId="77777777" w:rsidR="00A1374E" w:rsidRPr="00A1374E" w:rsidRDefault="00A1374E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4A98EA7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разделов бухгалтерского баланса от первого раздела к пятому. Запишите правильную последовательность букв слева направо:</w:t>
      </w:r>
    </w:p>
    <w:p w14:paraId="37D266C6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A1374E">
        <w:rPr>
          <w:rFonts w:ascii="Times New Roman" w:eastAsia="Times New Roman" w:hAnsi="Times New Roman"/>
          <w:sz w:val="28"/>
          <w:lang w:eastAsia="en-US"/>
        </w:rPr>
        <w:t>капитал и резервы</w:t>
      </w:r>
    </w:p>
    <w:p w14:paraId="1DBD860F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A1374E">
        <w:rPr>
          <w:rFonts w:ascii="Times New Roman" w:eastAsia="Times New Roman" w:hAnsi="Times New Roman"/>
          <w:sz w:val="28"/>
          <w:lang w:eastAsia="en-US"/>
        </w:rPr>
        <w:t>внеоборотные активы</w:t>
      </w:r>
    </w:p>
    <w:p w14:paraId="0ACCB5E9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1374E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A1374E">
        <w:rPr>
          <w:rFonts w:ascii="Times New Roman" w:eastAsia="Times New Roman" w:hAnsi="Times New Roman"/>
          <w:sz w:val="28"/>
          <w:lang w:eastAsia="en-US"/>
        </w:rPr>
        <w:t>долгосрочные обязательства</w:t>
      </w:r>
    </w:p>
    <w:p w14:paraId="6A6B518E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en-US"/>
        </w:rPr>
      </w:pPr>
      <w:r w:rsidRPr="00A1374E">
        <w:rPr>
          <w:rFonts w:ascii="Times New Roman" w:eastAsia="Times New Roman" w:hAnsi="Times New Roman"/>
          <w:sz w:val="28"/>
          <w:lang w:eastAsia="en-US"/>
        </w:rPr>
        <w:t>Г) оборотные активы</w:t>
      </w:r>
    </w:p>
    <w:p w14:paraId="3224B158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lang w:eastAsia="en-US"/>
        </w:rPr>
        <w:t>Д) краткосрочные обязательства</w:t>
      </w:r>
    </w:p>
    <w:p w14:paraId="522E9A81" w14:textId="2B812DDD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A54604">
        <w:rPr>
          <w:rFonts w:ascii="Times New Roman" w:eastAsia="Aptos" w:hAnsi="Times New Roman"/>
          <w:kern w:val="2"/>
          <w:sz w:val="28"/>
          <w:szCs w:val="28"/>
          <w:lang w:eastAsia="en-US"/>
        </w:rPr>
        <w:t>Б, Г, А, В, Д</w:t>
      </w:r>
    </w:p>
    <w:p w14:paraId="5A11CD70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78033167" w14:textId="10395BE3" w:rsidR="00A1374E" w:rsidRDefault="00A1374E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386DE06" w14:textId="77777777" w:rsidR="00BC33D8" w:rsidRPr="00A1374E" w:rsidRDefault="00BC33D8" w:rsidP="00A1374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D8B35F4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50A19D18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6314782F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23539471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58728612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>1.</w:t>
      </w:r>
      <w:r w:rsidRPr="00A1374E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A1374E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C8E4445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Учетная политика </w:t>
      </w:r>
      <w:r w:rsidRPr="00A1374E">
        <w:rPr>
          <w:rFonts w:ascii="Times New Roman" w:eastAsia="Times New Roman" w:hAnsi="Times New Roman"/>
          <w:sz w:val="28"/>
          <w:szCs w:val="28"/>
        </w:rPr>
        <w:t xml:space="preserve">— _____________, устанавливающий методы и способы ведения налогового и бухгалтерского учета, а именно </w:t>
      </w:r>
      <w:r w:rsidRPr="00A1374E">
        <w:rPr>
          <w:rFonts w:ascii="Times New Roman" w:eastAsia="Times New Roman" w:hAnsi="Times New Roman"/>
          <w:sz w:val="28"/>
          <w:szCs w:val="28"/>
          <w:shd w:val="clear" w:color="auto" w:fill="FFFFFF"/>
        </w:rPr>
        <w:t>свод положений регулирует отражение данных о поступлениях, затратах и налоговых обязательствах, помогает управлять бизнес-процессами, оценивать их и решать спорные ситуации между организацией и Федеральной Налоговой Службой (ФНС)</w:t>
      </w:r>
      <w:r w:rsidRPr="00A1374E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247999A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1374E">
        <w:rPr>
          <w:rFonts w:ascii="Times New Roman" w:eastAsia="Times New Roman" w:hAnsi="Times New Roman"/>
          <w:sz w:val="28"/>
          <w:szCs w:val="28"/>
        </w:rPr>
        <w:t>Документ</w:t>
      </w:r>
    </w:p>
    <w:p w14:paraId="7FDC8242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497E0B99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kern w:val="2"/>
          <w:sz w:val="28"/>
          <w:szCs w:val="28"/>
        </w:rPr>
      </w:pPr>
    </w:p>
    <w:p w14:paraId="038FBC89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1374E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C407FFA" w14:textId="77777777" w:rsidR="00A1374E" w:rsidRPr="00A1374E" w:rsidRDefault="00A1374E" w:rsidP="00A137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Ошибка</w:t>
      </w:r>
      <w:r w:rsidRPr="00A1374E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A1374E">
        <w:rPr>
          <w:rFonts w:ascii="Times New Roman" w:eastAsia="Times New Roman" w:hAnsi="Times New Roman"/>
          <w:spacing w:val="49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A1374E">
        <w:rPr>
          <w:rFonts w:ascii="Times New Roman" w:eastAsia="Times New Roman" w:hAnsi="Times New Roman"/>
          <w:spacing w:val="45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_______________</w:t>
      </w:r>
      <w:r w:rsidRPr="00A1374E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действие</w:t>
      </w:r>
      <w:r w:rsidRPr="00A1374E">
        <w:rPr>
          <w:rFonts w:ascii="Times New Roman" w:eastAsia="Times New Roman" w:hAnsi="Times New Roman"/>
          <w:spacing w:val="48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(описка,</w:t>
      </w:r>
      <w:r w:rsidRPr="00A1374E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упущение</w:t>
      </w:r>
      <w:r w:rsidRPr="00A1374E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фактов</w:t>
      </w:r>
      <w:r w:rsidRPr="00A1374E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и др.).</w:t>
      </w:r>
    </w:p>
    <w:p w14:paraId="22AB20F2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Непреднамеренное</w:t>
      </w:r>
    </w:p>
    <w:p w14:paraId="1A1BB42A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33DB7757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57E1468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1374E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  <w:t>Напишите пропущенное слово.</w:t>
      </w:r>
    </w:p>
    <w:p w14:paraId="50E19E6A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en-US"/>
        </w:rPr>
      </w:pPr>
      <w:r w:rsidRPr="00A137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eastAsia="en-US"/>
        </w:rPr>
        <w:t>Информационная среда в сфере бухгалтерского учёта</w:t>
      </w:r>
      <w:r w:rsidRPr="00A137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eastAsia="en-US"/>
        </w:rPr>
        <w:t> </w:t>
      </w:r>
      <w:r w:rsidRPr="00A1374E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en-US"/>
        </w:rPr>
        <w:t xml:space="preserve">— это _________, в которой с помощью компьютерных технологий собирают, передают и хранят </w:t>
      </w:r>
      <w:r w:rsidRPr="00A1374E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en-US"/>
        </w:rPr>
        <w:lastRenderedPageBreak/>
        <w:t>информацию для управления финансово-хозяйственной деятельностью предприятия.</w:t>
      </w:r>
    </w:p>
    <w:p w14:paraId="2F70E8A8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A1374E">
        <w:rPr>
          <w:rFonts w:ascii="Times New Roman" w:hAnsi="Times New Roman"/>
          <w:color w:val="333333"/>
          <w:sz w:val="28"/>
          <w:szCs w:val="28"/>
          <w:shd w:val="clear" w:color="auto" w:fill="FFFFFF"/>
          <w:lang w:eastAsia="en-US"/>
        </w:rPr>
        <w:t>Система</w:t>
      </w:r>
    </w:p>
    <w:p w14:paraId="199A4C7A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3BD833F0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704D5CBF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62EBEE11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1018E48F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1374E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26050862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hAnsi="Times New Roman"/>
          <w:sz w:val="28"/>
          <w:szCs w:val="28"/>
          <w:lang w:eastAsia="en-US"/>
        </w:rPr>
        <w:t>В связи со всеми изменениями в нормативных актах необходимо корректировать и утвердить изменения в приказе об учетной политике не позднее _____________________________________ года, предшествовавшего отчетному году. Распоряжение с более поздней датой будет действовать только в последующем году.</w:t>
      </w:r>
    </w:p>
    <w:p w14:paraId="11D45ECC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Правильный ответ: </w:t>
      </w:r>
      <w:r w:rsidRPr="00A1374E">
        <w:rPr>
          <w:rFonts w:ascii="Times New Roman" w:hAnsi="Times New Roman"/>
          <w:sz w:val="28"/>
          <w:szCs w:val="28"/>
          <w:lang w:eastAsia="en-US"/>
        </w:rPr>
        <w:t>последнего рабочего дня</w:t>
      </w:r>
      <w:r w:rsidRPr="00A1374E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/ </w:t>
      </w:r>
      <w:r w:rsidRPr="00A1374E">
        <w:rPr>
          <w:rFonts w:ascii="Times New Roman" w:hAnsi="Times New Roman"/>
          <w:sz w:val="28"/>
          <w:szCs w:val="28"/>
          <w:lang w:eastAsia="en-US"/>
        </w:rPr>
        <w:t>заключительного рабочего дня / 30 декабря</w:t>
      </w:r>
    </w:p>
    <w:p w14:paraId="1B457208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5234600B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3E55563F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1374E">
        <w:rPr>
          <w:rFonts w:ascii="Times New Roman" w:eastAsia="Times New Roman" w:hAnsi="Times New Roman"/>
          <w:bCs/>
          <w:iCs/>
          <w:kern w:val="2"/>
          <w:sz w:val="28"/>
          <w:szCs w:val="28"/>
        </w:rPr>
        <w:t xml:space="preserve">2.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краткий ответ.</w:t>
      </w:r>
    </w:p>
    <w:p w14:paraId="6ADA76F7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 xml:space="preserve">Согласно </w:t>
      </w:r>
      <w:hyperlink r:id="rId6" w:anchor="dst100034" w:history="1">
        <w:r w:rsidRPr="00A1374E">
          <w:rPr>
            <w:rFonts w:ascii="Times New Roman" w:eastAsia="Times New Roman" w:hAnsi="Times New Roman"/>
            <w:sz w:val="28"/>
            <w:szCs w:val="28"/>
          </w:rPr>
          <w:t>статье 4</w:t>
        </w:r>
      </w:hyperlink>
      <w:r w:rsidRPr="00A1374E">
        <w:rPr>
          <w:rFonts w:ascii="Times New Roman" w:eastAsia="Times New Roman" w:hAnsi="Times New Roman"/>
          <w:sz w:val="28"/>
          <w:szCs w:val="28"/>
        </w:rPr>
        <w:t xml:space="preserve"> Федерального закона от 06.12.2011 N 402-ФЗ "О бухгалтерском учете" (далее - Закон N 402-ФЗ), законодательство Российской Федерации о бухгалтерском учете состоит из: ____________________________________; других федеральных законов, принятых в соответствии с ними нормативных правовых актов.</w:t>
      </w:r>
    </w:p>
    <w:p w14:paraId="1FF130E7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A1374E">
        <w:rPr>
          <w:rFonts w:ascii="Times New Roman" w:eastAsia="Times New Roman" w:hAnsi="Times New Roman"/>
          <w:sz w:val="28"/>
          <w:szCs w:val="28"/>
        </w:rPr>
        <w:t>Названного </w:t>
      </w:r>
      <w:hyperlink r:id="rId7" w:history="1">
        <w:r w:rsidRPr="00A1374E">
          <w:rPr>
            <w:rFonts w:ascii="Times New Roman" w:eastAsia="Times New Roman" w:hAnsi="Times New Roman"/>
            <w:sz w:val="28"/>
            <w:szCs w:val="28"/>
          </w:rPr>
          <w:t>Закона</w:t>
        </w:r>
      </w:hyperlink>
      <w:r w:rsidRPr="00A1374E">
        <w:rPr>
          <w:rFonts w:ascii="Times New Roman" w:eastAsia="Times New Roman" w:hAnsi="Times New Roman"/>
          <w:sz w:val="28"/>
          <w:szCs w:val="28"/>
        </w:rPr>
        <w:t> N 402-ФЗ</w:t>
      </w: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 </w:t>
      </w:r>
    </w:p>
    <w:p w14:paraId="02EDD70D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795FCBFC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6B218094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A1374E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3. </w:t>
      </w:r>
      <w:r w:rsidRPr="00A1374E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7F4E8C3F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_____________________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– это политика и процедуры, принятые</w:t>
      </w:r>
      <w:r w:rsidRPr="00A1374E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руководством</w:t>
      </w:r>
      <w:r w:rsidRPr="00A1374E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субъекта</w:t>
      </w:r>
      <w:r w:rsidRPr="00A1374E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для</w:t>
      </w:r>
      <w:r w:rsidRPr="00A1374E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содействия</w:t>
      </w:r>
      <w:r w:rsidRPr="00A1374E">
        <w:rPr>
          <w:rFonts w:ascii="Times New Roman" w:eastAsia="Times New Roman" w:hAnsi="Times New Roman"/>
          <w:spacing w:val="-13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A1374E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реализации</w:t>
      </w:r>
      <w:r w:rsidRPr="00A1374E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целей,</w:t>
      </w:r>
      <w:r w:rsidRPr="00A1374E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предусматривающих упорядоченное</w:t>
      </w:r>
      <w:r w:rsidRPr="00A1374E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A1374E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эффективное</w:t>
      </w:r>
      <w:r w:rsidRPr="00A1374E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ведение</w:t>
      </w:r>
      <w:r w:rsidRPr="00A1374E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финансово-хозяйственной</w:t>
      </w:r>
      <w:r w:rsidRPr="00A1374E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деятельности.</w:t>
      </w:r>
    </w:p>
    <w:p w14:paraId="2D4FF9BE" w14:textId="77777777" w:rsidR="00A1374E" w:rsidRPr="00A1374E" w:rsidRDefault="00A1374E" w:rsidP="00A1374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Система внутреннего контроля</w:t>
      </w: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/ </w:t>
      </w:r>
      <w:r w:rsidRPr="00A1374E">
        <w:rPr>
          <w:rFonts w:ascii="Times New Roman" w:eastAsia="Times New Roman" w:hAnsi="Times New Roman"/>
          <w:sz w:val="28"/>
          <w:szCs w:val="28"/>
          <w:lang w:eastAsia="en-US"/>
        </w:rPr>
        <w:t>Внутренний контроль</w:t>
      </w:r>
    </w:p>
    <w:p w14:paraId="702CAFF5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54DBB861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0C3D384F" w14:textId="77777777" w:rsidR="00A1374E" w:rsidRPr="00A1374E" w:rsidRDefault="00A1374E" w:rsidP="00A1374E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23A5E4B9" w14:textId="77777777" w:rsidR="00A1374E" w:rsidRPr="00A1374E" w:rsidRDefault="00A1374E" w:rsidP="00A1374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2E4465A0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FB6B7E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>Кем формируется учетная политика организации:</w:t>
      </w:r>
    </w:p>
    <w:p w14:paraId="18577560" w14:textId="0EF17808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775026">
        <w:rPr>
          <w:rFonts w:ascii="Times New Roman" w:eastAsia="Aptos" w:hAnsi="Times New Roman"/>
          <w:kern w:val="2"/>
          <w:sz w:val="28"/>
          <w:szCs w:val="28"/>
          <w:lang w:eastAsia="en-US"/>
        </w:rPr>
        <w:t>6</w:t>
      </w: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6E3EAAFB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 xml:space="preserve">Ожидаемый результат: </w:t>
      </w:r>
      <w:r w:rsidRPr="00A1374E">
        <w:rPr>
          <w:rFonts w:ascii="Times New Roman" w:eastAsia="Helvetica-Bold" w:hAnsi="Times New Roman"/>
          <w:sz w:val="28"/>
          <w:szCs w:val="28"/>
        </w:rPr>
        <w:t>Главным бухгалтером (бухгалтером) организации на основании требований и рекомендаций ПБУ 1/2008 «Учетная политика организации» и утверждается её руководителем.</w:t>
      </w:r>
    </w:p>
    <w:p w14:paraId="7532477B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>Критерий оценивания: наличие в ответе, что формируется главным бухгалтером и утверждается руководителем.</w:t>
      </w:r>
    </w:p>
    <w:p w14:paraId="24ED33E5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3AEC958F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1325FB9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48F0EB5" w14:textId="77777777" w:rsidR="00A1374E" w:rsidRPr="00A1374E" w:rsidRDefault="00A1374E" w:rsidP="00A1374E">
      <w:pPr>
        <w:widowControl w:val="0"/>
        <w:tabs>
          <w:tab w:val="left" w:pos="1022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hAnsi="Times New Roman"/>
          <w:sz w:val="28"/>
          <w:szCs w:val="28"/>
          <w:lang w:eastAsia="en-US"/>
        </w:rPr>
        <w:t xml:space="preserve">В течение отчетного периода в кассу организации поступило 250 200 руб., выдано из кассы организации за этот период 260 220 руб., на конец отчетного периода сальдо по сч.50 равно 5780 руб. Сколько составило сальдо по </w:t>
      </w:r>
      <w:proofErr w:type="spellStart"/>
      <w:r w:rsidRPr="00A1374E">
        <w:rPr>
          <w:rFonts w:ascii="Times New Roman" w:hAnsi="Times New Roman"/>
          <w:sz w:val="28"/>
          <w:szCs w:val="28"/>
          <w:lang w:eastAsia="en-US"/>
        </w:rPr>
        <w:t>сч</w:t>
      </w:r>
      <w:proofErr w:type="spellEnd"/>
      <w:r w:rsidRPr="00A1374E">
        <w:rPr>
          <w:rFonts w:ascii="Times New Roman" w:hAnsi="Times New Roman"/>
          <w:sz w:val="28"/>
          <w:szCs w:val="28"/>
          <w:lang w:eastAsia="en-US"/>
        </w:rPr>
        <w:t>. 50 «Касса»</w:t>
      </w:r>
      <w:r w:rsidRPr="00A1374E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A1374E">
        <w:rPr>
          <w:rFonts w:ascii="Times New Roman" w:hAnsi="Times New Roman"/>
          <w:sz w:val="28"/>
          <w:szCs w:val="28"/>
          <w:lang w:eastAsia="en-US"/>
        </w:rPr>
        <w:t>на начало периода:</w:t>
      </w:r>
    </w:p>
    <w:p w14:paraId="1F33E8B5" w14:textId="4F4C403F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Время выполнения – </w:t>
      </w:r>
      <w:r w:rsidR="00775026">
        <w:rPr>
          <w:rFonts w:ascii="Times New Roman" w:eastAsia="Aptos" w:hAnsi="Times New Roman"/>
          <w:kern w:val="2"/>
          <w:sz w:val="28"/>
          <w:szCs w:val="28"/>
          <w:lang w:eastAsia="en-US"/>
        </w:rPr>
        <w:t>12</w:t>
      </w: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25732F03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A1374E">
        <w:rPr>
          <w:rFonts w:ascii="Times New Roman" w:hAnsi="Times New Roman"/>
          <w:sz w:val="28"/>
          <w:szCs w:val="28"/>
          <w:lang w:eastAsia="en-US"/>
        </w:rPr>
        <w:t>15 800 руб.</w:t>
      </w:r>
    </w:p>
    <w:p w14:paraId="4EDF55F6" w14:textId="77777777" w:rsidR="00A1374E" w:rsidRPr="00A1374E" w:rsidRDefault="00A1374E" w:rsidP="00A1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</w:t>
      </w:r>
      <w:r w:rsidRPr="00A1374E">
        <w:rPr>
          <w:rFonts w:ascii="Times New Roman" w:hAnsi="Times New Roman"/>
          <w:sz w:val="28"/>
          <w:szCs w:val="28"/>
          <w:lang w:eastAsia="en-US"/>
        </w:rPr>
        <w:t>15 800 руб.</w:t>
      </w:r>
    </w:p>
    <w:p w14:paraId="68F1B055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p w14:paraId="1B069149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6006047" w14:textId="77777777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A1374E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77A7DED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 xml:space="preserve">К документам в области регулирования бухгалтерского учета в соответствии с </w:t>
      </w:r>
      <w:hyperlink r:id="rId8" w:anchor="dst100178" w:history="1">
        <w:r w:rsidRPr="00A1374E">
          <w:rPr>
            <w:rFonts w:ascii="Times New Roman" w:eastAsia="Times New Roman" w:hAnsi="Times New Roman"/>
            <w:sz w:val="28"/>
            <w:szCs w:val="28"/>
          </w:rPr>
          <w:t>частью первой статьи 21</w:t>
        </w:r>
      </w:hyperlink>
      <w:r w:rsidRPr="00A1374E">
        <w:rPr>
          <w:rFonts w:ascii="Times New Roman" w:eastAsia="Times New Roman" w:hAnsi="Times New Roman"/>
          <w:sz w:val="28"/>
          <w:szCs w:val="28"/>
        </w:rPr>
        <w:t> Закона N 402-ФЗ относятся:</w:t>
      </w:r>
    </w:p>
    <w:p w14:paraId="713DC9C8" w14:textId="665BE434" w:rsidR="00A1374E" w:rsidRPr="00A1374E" w:rsidRDefault="00A1374E" w:rsidP="00A1374E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1</w:t>
      </w:r>
      <w:r w:rsidR="00775026">
        <w:rPr>
          <w:rFonts w:ascii="Times New Roman" w:eastAsia="Aptos" w:hAnsi="Times New Roman"/>
          <w:kern w:val="2"/>
          <w:sz w:val="28"/>
          <w:szCs w:val="28"/>
          <w:lang w:eastAsia="en-US"/>
        </w:rPr>
        <w:t>5</w:t>
      </w: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мин.</w:t>
      </w:r>
    </w:p>
    <w:p w14:paraId="6A72F1F1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</w:p>
    <w:p w14:paraId="56B8A728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>федеральные стандарты бухгалтерского учета, федеральные стандарты бухгалтерского учета государственных финансов (далее при совместном упоминании - федеральные стандарты)</w:t>
      </w:r>
    </w:p>
    <w:p w14:paraId="04F185FF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>отраслевые стандарты бухгалтерского учета, отраслевые стандарты бухгалтерского учета государственных финансов (далее при совместном упоминании - отраслевые стандарты)</w:t>
      </w:r>
    </w:p>
    <w:p w14:paraId="40AE40A8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 xml:space="preserve">нормативные акты Центрального банка Российской Федерации, предусмотренные </w:t>
      </w:r>
      <w:hyperlink r:id="rId9" w:anchor="dst100343" w:history="1">
        <w:r w:rsidRPr="00A1374E">
          <w:rPr>
            <w:rFonts w:ascii="Times New Roman" w:eastAsia="Times New Roman" w:hAnsi="Times New Roman"/>
            <w:sz w:val="28"/>
            <w:szCs w:val="28"/>
          </w:rPr>
          <w:t>частью 6 статьи 21</w:t>
        </w:r>
      </w:hyperlink>
      <w:r w:rsidRPr="00A1374E">
        <w:rPr>
          <w:rFonts w:ascii="Times New Roman" w:eastAsia="Times New Roman" w:hAnsi="Times New Roman"/>
          <w:sz w:val="28"/>
          <w:szCs w:val="28"/>
        </w:rPr>
        <w:t> Закона N 402-ФЗ</w:t>
      </w:r>
    </w:p>
    <w:p w14:paraId="77F34FA2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>рекомендации в области бухгалтерского учета</w:t>
      </w:r>
    </w:p>
    <w:p w14:paraId="4C42FB8D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Times New Roman" w:hAnsi="Times New Roman"/>
          <w:sz w:val="28"/>
          <w:szCs w:val="28"/>
        </w:rPr>
        <w:t>стандарты экономического субъекта</w:t>
      </w:r>
    </w:p>
    <w:p w14:paraId="40B93A3F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374E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Критерии оценивания: наличие в ответе вывода о том, что </w:t>
      </w:r>
      <w:r w:rsidRPr="00A1374E">
        <w:rPr>
          <w:rFonts w:ascii="Times New Roman" w:eastAsia="Times New Roman" w:hAnsi="Times New Roman"/>
          <w:sz w:val="28"/>
          <w:szCs w:val="28"/>
        </w:rPr>
        <w:t>к документам в области регулирования бухгалтерского учета относятся федеральные и отраслевые стандарты бухгалтерского учета, нормативные акты Центрального банка РФ, рекомендации в области бухгалтерского учета и стандарты экономического субъекта</w:t>
      </w:r>
    </w:p>
    <w:p w14:paraId="1CFC5D8D" w14:textId="77777777" w:rsidR="00A1374E" w:rsidRPr="00A1374E" w:rsidRDefault="00A1374E" w:rsidP="00A13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A1374E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УК-1 (УК-1.1, УК-1.2); ОПК-1 (ОПК-1.1, ОПК-1.2); ПК-1 (ПК-1.1, ПК-1.2, ПК-1.3)</w:t>
      </w:r>
    </w:p>
    <w:sectPr w:rsidR="00A1374E" w:rsidRPr="00A1374E" w:rsidSect="00775026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altName w:val="Yu Gothic"/>
    <w:charset w:val="80"/>
    <w:family w:val="swiss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93551">
    <w:abstractNumId w:val="1"/>
  </w:num>
  <w:num w:numId="2" w16cid:durableId="38954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7122"/>
    <w:rsid w:val="000C41DB"/>
    <w:rsid w:val="000D408B"/>
    <w:rsid w:val="000D5793"/>
    <w:rsid w:val="000E4111"/>
    <w:rsid w:val="000E795C"/>
    <w:rsid w:val="000F120B"/>
    <w:rsid w:val="000F21CD"/>
    <w:rsid w:val="000F2740"/>
    <w:rsid w:val="000F277D"/>
    <w:rsid w:val="000F29EA"/>
    <w:rsid w:val="00106F7F"/>
    <w:rsid w:val="00107D61"/>
    <w:rsid w:val="00110466"/>
    <w:rsid w:val="00111AD2"/>
    <w:rsid w:val="0011293A"/>
    <w:rsid w:val="00117AB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7728"/>
    <w:rsid w:val="003619DD"/>
    <w:rsid w:val="00362EC5"/>
    <w:rsid w:val="00364068"/>
    <w:rsid w:val="0036487D"/>
    <w:rsid w:val="00366959"/>
    <w:rsid w:val="00367D35"/>
    <w:rsid w:val="003768D3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66E99"/>
    <w:rsid w:val="00473574"/>
    <w:rsid w:val="0047561D"/>
    <w:rsid w:val="0047674D"/>
    <w:rsid w:val="00476DB5"/>
    <w:rsid w:val="004802A6"/>
    <w:rsid w:val="00480ADD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A7A4B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2BC4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770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1A2C"/>
    <w:rsid w:val="005D652E"/>
    <w:rsid w:val="005E0602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65CBA"/>
    <w:rsid w:val="006665B5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6792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5026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26D8"/>
    <w:rsid w:val="008347D8"/>
    <w:rsid w:val="00834F53"/>
    <w:rsid w:val="008419BE"/>
    <w:rsid w:val="00841F69"/>
    <w:rsid w:val="00845D43"/>
    <w:rsid w:val="00854757"/>
    <w:rsid w:val="008558A2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A6FBA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374E"/>
    <w:rsid w:val="00A148D0"/>
    <w:rsid w:val="00A2109D"/>
    <w:rsid w:val="00A25DDA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4604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2564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33D8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A2CC2"/>
    <w:rsid w:val="00CB2A3F"/>
    <w:rsid w:val="00CB3BCD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040A0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6E08"/>
    <w:rsid w:val="00E00410"/>
    <w:rsid w:val="00E00A23"/>
    <w:rsid w:val="00E042FB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B4685"/>
    <w:rsid w:val="00EB679F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7077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A1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4181/c1b1ebfc4c28e89e4737a4d27885d9f0b15678fb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418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64181/0ab3f8e98f8689862e4c7d37ebdc7ad8c9a47abc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4181/c1b1ebfc4c28e89e4737a4d27885d9f0b15678f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B642C-2A0A-4B07-B31F-41C380C5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Елена</cp:lastModifiedBy>
  <cp:revision>15</cp:revision>
  <cp:lastPrinted>2025-03-13T09:23:00Z</cp:lastPrinted>
  <dcterms:created xsi:type="dcterms:W3CDTF">2025-03-12T18:03:00Z</dcterms:created>
  <dcterms:modified xsi:type="dcterms:W3CDTF">2025-03-23T01:05:00Z</dcterms:modified>
</cp:coreProperties>
</file>