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AA0314" w:rsidRPr="00AA0314">
        <w:t>Математические методы в гуманитарных науках</w:t>
      </w:r>
      <w:r w:rsidRPr="00CC1E93">
        <w:t>»</w:t>
      </w:r>
    </w:p>
    <w:p w:rsidR="006943A0" w:rsidRPr="00CC1E93" w:rsidRDefault="006943A0" w:rsidP="006943A0">
      <w:pPr>
        <w:pStyle w:val="a0"/>
      </w:pPr>
    </w:p>
    <w:p w:rsidR="006943A0" w:rsidRPr="00CC1E93" w:rsidRDefault="006943A0" w:rsidP="006943A0">
      <w:pPr>
        <w:pStyle w:val="a0"/>
      </w:pPr>
    </w:p>
    <w:p w:rsidR="00874B3E" w:rsidRPr="00CC1E93" w:rsidRDefault="00874B3E" w:rsidP="00840510">
      <w:pPr>
        <w:pStyle w:val="3"/>
      </w:pPr>
      <w:r w:rsidRPr="00CC1E93">
        <w:t>Задания закрытого типа</w:t>
      </w:r>
    </w:p>
    <w:p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:rsidR="0092015D" w:rsidRPr="00CC1E93" w:rsidRDefault="0092015D" w:rsidP="0092015D">
      <w:r w:rsidRPr="00CC1E93">
        <w:t>1. Выберите один правильный ответ</w:t>
      </w:r>
    </w:p>
    <w:p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:rsidR="0092015D" w:rsidRPr="00CC1E93" w:rsidRDefault="002F7E35" w:rsidP="0092015D">
      <w:r>
        <w:t>Компетенции (индикаторы): УК-2, ПК-1</w:t>
      </w:r>
    </w:p>
    <w:p w:rsidR="0092015D" w:rsidRPr="00CC1E93" w:rsidRDefault="0092015D" w:rsidP="0092015D"/>
    <w:p w:rsidR="00C70737" w:rsidRPr="00CC1E93" w:rsidRDefault="00C70737" w:rsidP="00C70737">
      <w:r w:rsidRPr="00CC1E93">
        <w:t>2. Выберите один правильный ответ</w:t>
      </w:r>
    </w:p>
    <w:p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:rsidR="00C70737" w:rsidRPr="00CC1E93" w:rsidRDefault="002F7E35" w:rsidP="00C70737">
      <w:r>
        <w:t>Компетенции (индикаторы): УК-2, ПК-1</w:t>
      </w:r>
    </w:p>
    <w:p w:rsidR="00C70737" w:rsidRPr="00CC1E93" w:rsidRDefault="00C70737" w:rsidP="00C70737"/>
    <w:p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:rsidR="00C70737" w:rsidRPr="00CC1E93" w:rsidRDefault="002F7E35" w:rsidP="00C70737">
      <w:r>
        <w:t>Компетенции (индикаторы): УК-2, ПК-1</w:t>
      </w:r>
    </w:p>
    <w:p w:rsidR="00C70737" w:rsidRPr="00CC1E93" w:rsidRDefault="00C70737" w:rsidP="00C70737"/>
    <w:p w:rsidR="00C70737" w:rsidRPr="00CC1E93" w:rsidRDefault="00C70737" w:rsidP="00C70737">
      <w:r w:rsidRPr="00CC1E93">
        <w:t>4. Выберите один правильный ответ</w:t>
      </w:r>
    </w:p>
    <w:p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:rsidR="00C70737" w:rsidRPr="00CC1E93" w:rsidRDefault="002F7E35" w:rsidP="00C70737">
      <w:r>
        <w:t>Компетенции (индикаторы): УК-2, ПК-1</w:t>
      </w:r>
    </w:p>
    <w:p w:rsidR="006C7C99" w:rsidRPr="00CC1E93" w:rsidRDefault="006C7C99" w:rsidP="0092015D"/>
    <w:p w:rsidR="006C7C99" w:rsidRPr="00CC1E93" w:rsidRDefault="006C7C99" w:rsidP="0092015D"/>
    <w:p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:rsidR="00FE2F74" w:rsidRPr="00CC1E93" w:rsidRDefault="00FE2F74" w:rsidP="00FE2F74">
      <w:pPr>
        <w:rPr>
          <w:b/>
          <w:bCs/>
        </w:rPr>
      </w:pPr>
    </w:p>
    <w:p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6804"/>
        <w:gridCol w:w="512"/>
        <w:gridCol w:w="1835"/>
      </w:tblGrid>
      <w:tr w:rsidR="00721A69" w:rsidRPr="00CC1E93" w:rsidTr="008B2B33">
        <w:tc>
          <w:tcPr>
            <w:tcW w:w="562" w:type="dxa"/>
            <w:vAlign w:val="center"/>
          </w:tcPr>
          <w:p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:rsidTr="008B2B33">
        <w:tc>
          <w:tcPr>
            <w:tcW w:w="562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:rsidTr="008B2B33">
        <w:tc>
          <w:tcPr>
            <w:tcW w:w="562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:rsidTr="008B2B33">
        <w:tc>
          <w:tcPr>
            <w:tcW w:w="562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:rsidTr="008B2B33">
        <w:tc>
          <w:tcPr>
            <w:tcW w:w="562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:rsidR="00721A69" w:rsidRPr="00CC1E93" w:rsidRDefault="00721A69" w:rsidP="00721A69"/>
    <w:p w:rsidR="00721A69" w:rsidRPr="00CC1E93" w:rsidRDefault="00721A69" w:rsidP="00721A69">
      <w:r w:rsidRPr="00CC1E93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DB7C34" w:rsidRPr="00CC1E93" w:rsidTr="00DB7C34">
        <w:tc>
          <w:tcPr>
            <w:tcW w:w="2406" w:type="dxa"/>
          </w:tcPr>
          <w:p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:rsidTr="00DB7C34">
        <w:tc>
          <w:tcPr>
            <w:tcW w:w="2406" w:type="dxa"/>
          </w:tcPr>
          <w:p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:rsidR="00721A69" w:rsidRPr="00CC1E93" w:rsidRDefault="002F7E35" w:rsidP="00721A69">
      <w:r>
        <w:t>Компетенции (индикаторы): УК-2, ПК-1</w:t>
      </w:r>
    </w:p>
    <w:p w:rsidR="00B5777E" w:rsidRPr="00CC1E93" w:rsidRDefault="00B5777E" w:rsidP="00721A69"/>
    <w:p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3402"/>
        <w:gridCol w:w="567"/>
        <w:gridCol w:w="5096"/>
      </w:tblGrid>
      <w:tr w:rsidR="00AD7916" w:rsidRPr="00CC1E93" w:rsidTr="00E760A2">
        <w:tc>
          <w:tcPr>
            <w:tcW w:w="562" w:type="dxa"/>
            <w:vAlign w:val="center"/>
          </w:tcPr>
          <w:p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:rsidR="00AD7916" w:rsidRPr="00CC1E93" w:rsidRDefault="00271D85" w:rsidP="006A5805">
            <w:pPr>
              <w:ind w:firstLine="0"/>
              <w:jc w:val="center"/>
            </w:pPr>
            <w:r w:rsidRPr="00CC1E93">
              <w:t>Разложение в ряд Маклорена</w:t>
            </w:r>
          </w:p>
        </w:tc>
      </w:tr>
      <w:tr w:rsidR="00AD7916" w:rsidRPr="00CC1E93" w:rsidTr="00E760A2">
        <w:tc>
          <w:tcPr>
            <w:tcW w:w="562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:rsidR="00AD7916" w:rsidRPr="00CC1E93" w:rsidRDefault="00D15353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:rsidTr="00E760A2">
        <w:tc>
          <w:tcPr>
            <w:tcW w:w="562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:rsidR="00AD7916" w:rsidRPr="00CC1E93" w:rsidRDefault="00D15353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:rsidTr="00E760A2">
        <w:tc>
          <w:tcPr>
            <w:tcW w:w="562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3 монеты. Найти вероятность </w:t>
            </w:r>
            <w:r w:rsidRPr="00CC1E93">
              <w:rPr>
                <w:iCs/>
              </w:rPr>
              <w:lastRenderedPageBreak/>
              <w:t>выпадения трех гербов</w:t>
            </w:r>
          </w:p>
        </w:tc>
        <w:tc>
          <w:tcPr>
            <w:tcW w:w="567" w:type="dxa"/>
            <w:vAlign w:val="center"/>
          </w:tcPr>
          <w:p w:rsidR="00AD7916" w:rsidRPr="00CC1E93" w:rsidRDefault="00AD7916" w:rsidP="006A5805">
            <w:pPr>
              <w:ind w:firstLine="0"/>
            </w:pPr>
            <w:r w:rsidRPr="00CC1E93">
              <w:lastRenderedPageBreak/>
              <w:t>В)</w:t>
            </w:r>
          </w:p>
        </w:tc>
        <w:tc>
          <w:tcPr>
            <w:tcW w:w="5096" w:type="dxa"/>
            <w:vAlign w:val="center"/>
          </w:tcPr>
          <w:p w:rsidR="00AD7916" w:rsidRPr="00CC1E93" w:rsidRDefault="00D15353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:rsidTr="00E760A2">
        <w:tc>
          <w:tcPr>
            <w:tcW w:w="562" w:type="dxa"/>
            <w:vAlign w:val="center"/>
          </w:tcPr>
          <w:p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:rsidR="00FA07D7" w:rsidRPr="00CC1E93" w:rsidRDefault="00D15353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:rsidR="00AD7916" w:rsidRPr="00CC1E93" w:rsidRDefault="00AD7916" w:rsidP="00AD7916"/>
    <w:p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RPr="00CC1E93" w:rsidTr="006A5805">
        <w:tc>
          <w:tcPr>
            <w:tcW w:w="2406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:rsidTr="006A5805">
        <w:tc>
          <w:tcPr>
            <w:tcW w:w="2406" w:type="dxa"/>
          </w:tcPr>
          <w:p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:rsidR="00AD7916" w:rsidRPr="00CC1E93" w:rsidRDefault="002F7E35" w:rsidP="00AD7916">
      <w:r>
        <w:t>Компетенции (индикаторы): УК-2, ПК-1</w:t>
      </w:r>
    </w:p>
    <w:p w:rsidR="00AD7916" w:rsidRPr="00CC1E93" w:rsidRDefault="00AD7916" w:rsidP="00721A69"/>
    <w:p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6096"/>
        <w:gridCol w:w="567"/>
        <w:gridCol w:w="2402"/>
      </w:tblGrid>
      <w:tr w:rsidR="00AD7916" w:rsidRPr="00CC1E93" w:rsidTr="007300B3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:rsidTr="007300B3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:rsidTr="007300B3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:rsidTr="007300B3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:rsidTr="007300B3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:rsidR="00AD7916" w:rsidRPr="00CC1E93" w:rsidRDefault="00AD7916" w:rsidP="00AD7916"/>
    <w:p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RPr="00CC1E93" w:rsidTr="006A5805">
        <w:tc>
          <w:tcPr>
            <w:tcW w:w="2406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:rsidTr="006A5805">
        <w:tc>
          <w:tcPr>
            <w:tcW w:w="2406" w:type="dxa"/>
          </w:tcPr>
          <w:p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:rsidR="00AD7916" w:rsidRPr="00CC1E93" w:rsidRDefault="002F7E35" w:rsidP="00AD7916">
      <w:r>
        <w:t>Компетенции (индикаторы): УК-2, ПК-1</w:t>
      </w:r>
    </w:p>
    <w:p w:rsidR="00AD7916" w:rsidRPr="00CC1E93" w:rsidRDefault="00AD7916" w:rsidP="00721A69"/>
    <w:p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5245"/>
        <w:gridCol w:w="567"/>
        <w:gridCol w:w="3253"/>
      </w:tblGrid>
      <w:tr w:rsidR="005C6659" w:rsidRPr="00CC1E93" w:rsidTr="008F4976">
        <w:tc>
          <w:tcPr>
            <w:tcW w:w="562" w:type="dxa"/>
          </w:tcPr>
          <w:p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:rsidTr="008F4976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:rsidTr="008F4976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:rsidTr="008F4976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:rsidTr="008F4976">
        <w:tc>
          <w:tcPr>
            <w:tcW w:w="562" w:type="dxa"/>
          </w:tcPr>
          <w:p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:rsidR="00AD7916" w:rsidRPr="00CC1E93" w:rsidRDefault="00AD7916" w:rsidP="00AD7916"/>
    <w:p w:rsidR="00AD7916" w:rsidRPr="00CC1E93" w:rsidRDefault="00AD7916" w:rsidP="00AD7916">
      <w:r w:rsidRPr="00CC1E93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AD7916" w:rsidRPr="00CC1E93" w:rsidTr="006A5805">
        <w:tc>
          <w:tcPr>
            <w:tcW w:w="2406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:rsidTr="006A5805">
        <w:tc>
          <w:tcPr>
            <w:tcW w:w="2406" w:type="dxa"/>
          </w:tcPr>
          <w:p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:rsidR="00AD7916" w:rsidRPr="00CC1E93" w:rsidRDefault="002F7E35" w:rsidP="00AD7916">
      <w:r>
        <w:t>Компетенции (индикаторы): УК-2, ПК-1</w:t>
      </w:r>
    </w:p>
    <w:p w:rsidR="00AD7916" w:rsidRPr="00CC1E93" w:rsidRDefault="00AD7916" w:rsidP="00721A69"/>
    <w:p w:rsidR="00DB7C34" w:rsidRPr="00CC1E93" w:rsidRDefault="00DB7C34" w:rsidP="00721A69"/>
    <w:p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5F0E3F" w:rsidRPr="00CC1E93" w:rsidTr="005F0E3F">
        <w:trPr>
          <w:jc w:val="center"/>
        </w:trPr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:rsidTr="005F0E3F">
        <w:trPr>
          <w:jc w:val="center"/>
        </w:trPr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:rsidTr="00DD3AB6">
        <w:trPr>
          <w:jc w:val="center"/>
        </w:trPr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P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:rsidR="00BB2661" w:rsidRPr="00CC1E93" w:rsidRDefault="002F7E35" w:rsidP="00BB2661">
      <w:r>
        <w:t>Компетенции (индикаторы): УК-2, ПК-1</w:t>
      </w:r>
    </w:p>
    <w:p w:rsidR="00BB2661" w:rsidRPr="00CC1E93" w:rsidRDefault="00BB2661" w:rsidP="00BB2661"/>
    <w:p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/>
      </w:tblPr>
      <w:tblGrid>
        <w:gridCol w:w="1020"/>
        <w:gridCol w:w="1020"/>
        <w:gridCol w:w="1020"/>
        <w:gridCol w:w="1020"/>
      </w:tblGrid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:rsidTr="00DD3AB6">
        <w:trPr>
          <w:jc w:val="center"/>
        </w:trPr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:rsidR="00640F75" w:rsidRPr="00CC1E93" w:rsidRDefault="002F7E35" w:rsidP="00640F75">
      <w:r>
        <w:t>Компетенции (индикаторы): УК-2, ПК-1</w:t>
      </w:r>
    </w:p>
    <w:p w:rsidR="00AD7916" w:rsidRPr="00CC1E93" w:rsidRDefault="00AD7916" w:rsidP="00AD7916"/>
    <w:p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:rsidR="00446A94" w:rsidRPr="00CC1E93" w:rsidRDefault="00446A94" w:rsidP="00640F75"/>
    <w:p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:rsidR="00640F75" w:rsidRPr="00CC1E93" w:rsidRDefault="002F7E35" w:rsidP="00640F75">
      <w:r>
        <w:t>Компетенции (индикаторы): УК-2, ПК-1</w:t>
      </w:r>
    </w:p>
    <w:p w:rsidR="00640F75" w:rsidRPr="00CC1E93" w:rsidRDefault="00640F75" w:rsidP="00AD7916"/>
    <w:p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:rsidR="00D02277" w:rsidRPr="00CC1E93" w:rsidRDefault="00D02277" w:rsidP="00D02277"/>
    <w:p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:rsidR="00D02277" w:rsidRPr="00CC1E93" w:rsidRDefault="00D02277" w:rsidP="00D02277">
      <w:r w:rsidRPr="00CC1E93">
        <w:t>Правильный ответ: А, Г, Б, В</w:t>
      </w:r>
    </w:p>
    <w:p w:rsidR="00640F75" w:rsidRPr="00CC1E93" w:rsidRDefault="002F7E35" w:rsidP="00640F75">
      <w:r>
        <w:t>Компетенции (индикаторы): УК-2, ПК-1</w:t>
      </w:r>
    </w:p>
    <w:p w:rsidR="00640F75" w:rsidRPr="00CC1E93" w:rsidRDefault="00640F75" w:rsidP="00AD7916"/>
    <w:p w:rsidR="00874B3E" w:rsidRPr="00CC1E93" w:rsidRDefault="00874B3E" w:rsidP="00840510">
      <w:pPr>
        <w:pStyle w:val="3"/>
      </w:pPr>
      <w:r w:rsidRPr="00CC1E93">
        <w:t>Задания открытого типа</w:t>
      </w:r>
    </w:p>
    <w:p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:rsidR="00D874BB" w:rsidRPr="00CC1E93" w:rsidRDefault="002F7E35" w:rsidP="00D874BB">
      <w:r>
        <w:t>Компетенции (индикаторы): УК-2, ПК-1</w:t>
      </w:r>
    </w:p>
    <w:bookmarkEnd w:id="0"/>
    <w:p w:rsidR="00D874BB" w:rsidRPr="00CC1E93" w:rsidRDefault="00D874BB" w:rsidP="00D874BB"/>
    <w:p w:rsidR="00D169A3" w:rsidRPr="00CC1E93" w:rsidRDefault="00D169A3" w:rsidP="00D169A3">
      <w:r w:rsidRPr="00CC1E93">
        <w:t>2. Напишите пропущенное слово (словосочетание).</w:t>
      </w:r>
    </w:p>
    <w:p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:rsidR="00D169A3" w:rsidRPr="00CC1E93" w:rsidRDefault="002F7E35" w:rsidP="00D169A3">
      <w:r>
        <w:t>Компетенции (индикаторы): УК-2, ПК-1</w:t>
      </w:r>
    </w:p>
    <w:p w:rsidR="00D169A3" w:rsidRPr="00CC1E93" w:rsidRDefault="00D169A3" w:rsidP="00D874BB"/>
    <w:p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:rsidR="00D169A3" w:rsidRPr="00CC1E93" w:rsidRDefault="002F7E35" w:rsidP="00D169A3">
      <w:r>
        <w:t>Компетенции (индикаторы): УК-2, ПК-1</w:t>
      </w:r>
    </w:p>
    <w:p w:rsidR="00D169A3" w:rsidRPr="00CC1E93" w:rsidRDefault="00D169A3" w:rsidP="00D874BB"/>
    <w:p w:rsidR="00D169A3" w:rsidRPr="00CC1E93" w:rsidRDefault="00E37DC0" w:rsidP="00D169A3">
      <w:r w:rsidRPr="00CC1E93">
        <w:lastRenderedPageBreak/>
        <w:t>4</w:t>
      </w:r>
      <w:r w:rsidR="00D169A3" w:rsidRPr="00CC1E93">
        <w:t>. Напишите пропущенное слово (словосочетание).</w:t>
      </w:r>
    </w:p>
    <w:p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:rsidR="00D169A3" w:rsidRPr="00CC1E93" w:rsidRDefault="002F7E35" w:rsidP="00D169A3">
      <w:r>
        <w:t>Компетенции (индикаторы): УК-2, ПК-1</w:t>
      </w:r>
    </w:p>
    <w:p w:rsidR="00776893" w:rsidRPr="00CC1E93" w:rsidRDefault="00776893" w:rsidP="00D169A3"/>
    <w:p w:rsidR="00776893" w:rsidRPr="00CC1E93" w:rsidRDefault="00776893" w:rsidP="00776893">
      <w:r w:rsidRPr="00CC1E93">
        <w:t>5. Напишите пропущенное слово (словосочетание).</w:t>
      </w:r>
    </w:p>
    <w:p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:rsidR="00776893" w:rsidRPr="00CC1E93" w:rsidRDefault="002F7E35" w:rsidP="00776893">
      <w:r>
        <w:t>Компетенции (индикаторы): УК-2, ПК-1</w:t>
      </w:r>
    </w:p>
    <w:p w:rsidR="00D169A3" w:rsidRPr="00CC1E93" w:rsidRDefault="00D169A3" w:rsidP="00D874BB"/>
    <w:p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:rsidR="0050337A" w:rsidRPr="00CC1E93" w:rsidRDefault="002F7E35" w:rsidP="0050337A">
      <w:r>
        <w:t>Компетенции (индикаторы): УК-2, ПК-1</w:t>
      </w:r>
    </w:p>
    <w:p w:rsidR="0050337A" w:rsidRPr="00CC1E93" w:rsidRDefault="0050337A" w:rsidP="0050337A"/>
    <w:p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:rsidR="006047A2" w:rsidRPr="00CC1E93" w:rsidRDefault="002F7E35" w:rsidP="006047A2">
      <w:r>
        <w:t>Компетенции (индикаторы): УК-2, ПК-1</w:t>
      </w:r>
    </w:p>
    <w:p w:rsidR="006047A2" w:rsidRPr="00CC1E93" w:rsidRDefault="006047A2" w:rsidP="0050337A"/>
    <w:p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:rsidR="00F11FDA" w:rsidRPr="00CC1E93" w:rsidRDefault="002F7E35" w:rsidP="00F11FDA">
      <w:r>
        <w:t>Компетенции (индикаторы): УК-2, ПК-1</w:t>
      </w:r>
    </w:p>
    <w:p w:rsidR="00F11FDA" w:rsidRPr="00CC1E93" w:rsidRDefault="00F11FDA" w:rsidP="0050337A"/>
    <w:p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:rsidR="001C3A9C" w:rsidRPr="00CC1E93" w:rsidRDefault="002F7E35" w:rsidP="001C3A9C">
      <w:r>
        <w:t>Компетенции (индикаторы): УК-2, ПК-1</w:t>
      </w:r>
    </w:p>
    <w:p w:rsidR="00F56671" w:rsidRPr="00CC1E93" w:rsidRDefault="00F56671" w:rsidP="001C3A9C"/>
    <w:p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:rsidR="00F56671" w:rsidRPr="00CC1E93" w:rsidRDefault="002F7E35" w:rsidP="00F56671">
      <w:r>
        <w:lastRenderedPageBreak/>
        <w:t>Компетенции (индикаторы): УК-2, ПК-1</w:t>
      </w:r>
    </w:p>
    <w:p w:rsidR="00F56671" w:rsidRPr="00CC1E93" w:rsidRDefault="00F56671" w:rsidP="001C3A9C"/>
    <w:p w:rsidR="0050337A" w:rsidRPr="00CC1E93" w:rsidRDefault="0050337A" w:rsidP="0050337A"/>
    <w:p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:rsidR="00F51BB9" w:rsidRPr="00CC1E93" w:rsidRDefault="00F51BB9" w:rsidP="00F51BB9">
      <w:r w:rsidRPr="00CC1E93">
        <w:t>Привести расширенное решение.</w:t>
      </w:r>
    </w:p>
    <w:p w:rsidR="00F51BB9" w:rsidRPr="00CC1E93" w:rsidRDefault="00F51BB9" w:rsidP="00F51BB9">
      <w:r w:rsidRPr="00CC1E93">
        <w:t>Время выполнения – 30 мин.</w:t>
      </w:r>
    </w:p>
    <w:p w:rsidR="00851238" w:rsidRPr="00CC1E93" w:rsidRDefault="00FC4F32" w:rsidP="00F51BB9">
      <w:r w:rsidRPr="00CC1E93">
        <w:t>Ожидаемый результат:</w:t>
      </w:r>
    </w:p>
    <w:p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:rsidR="002B3406" w:rsidRPr="00CC1E93" w:rsidRDefault="00D15353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:rsidTr="000B216B">
        <w:trPr>
          <w:jc w:val="center"/>
        </w:trPr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:rsidTr="000B216B">
        <w:trPr>
          <w:jc w:val="center"/>
        </w:trPr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:rsidR="00DA3FC5" w:rsidRPr="00CC1E93" w:rsidRDefault="00DA3FC5" w:rsidP="00DA3FC5">
      <w:r w:rsidRPr="00CC1E93">
        <w:t>Критерии оценивания:</w:t>
      </w:r>
    </w:p>
    <w:p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:rsidR="00DA3FC5" w:rsidRDefault="00DA3FC5" w:rsidP="00F51BB9"/>
    <w:p w:rsidR="00840510" w:rsidRPr="00CC1E93" w:rsidRDefault="002F7E35" w:rsidP="00F51BB9">
      <w:r>
        <w:t>Компетенции (индикаторы): УК-2, ПК-1</w:t>
      </w:r>
    </w:p>
    <w:p w:rsidR="00F51BB9" w:rsidRPr="00CC1E93" w:rsidRDefault="00F51BB9" w:rsidP="00F51BB9"/>
    <w:p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:rsidTr="00851F6F">
        <w:trPr>
          <w:jc w:val="center"/>
        </w:trPr>
        <w:tc>
          <w:tcPr>
            <w:tcW w:w="1134" w:type="dxa"/>
          </w:tcPr>
          <w:p w:rsidR="00806459" w:rsidRPr="00806459" w:rsidRDefault="00D15353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w:bookmarkStart w:id="2" w:name="_Hlk190599967"/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806459" w:rsidRPr="00CC1E93" w:rsidTr="00851F6F">
        <w:trPr>
          <w:jc w:val="center"/>
        </w:trPr>
        <w:tc>
          <w:tcPr>
            <w:tcW w:w="1134" w:type="dxa"/>
          </w:tcPr>
          <w:p w:rsidR="00806459" w:rsidRPr="00CC1E93" w:rsidRDefault="00D15353" w:rsidP="00275FE2">
            <w:pPr>
              <w:ind w:firstLine="0"/>
              <w:rPr>
                <w:rFonts w:eastAsiaTheme="minorEastAsia"/>
              </w:rPr>
            </w:pPr>
            <m:oMathPara>
              <m:oMath>
                <w:bookmarkEnd w:id="2"/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:rsidR="00806459" w:rsidRPr="00CC1E93" w:rsidRDefault="00806459" w:rsidP="00CF300E">
      <w:pPr>
        <w:rPr>
          <w:rFonts w:eastAsiaTheme="minorEastAsia"/>
          <w:i/>
        </w:rPr>
      </w:pPr>
    </w:p>
    <w:p w:rsidR="00CF300E" w:rsidRPr="00CC1E93" w:rsidRDefault="00CF300E" w:rsidP="00CF300E">
      <w:r w:rsidRPr="00CC1E93">
        <w:t>Привести расширенное решение.</w:t>
      </w:r>
    </w:p>
    <w:p w:rsidR="00CF300E" w:rsidRPr="00CC1E93" w:rsidRDefault="00CF300E" w:rsidP="00CF300E">
      <w:r w:rsidRPr="00CC1E93">
        <w:t xml:space="preserve">Время выполнения – </w:t>
      </w:r>
      <w:r w:rsidR="00765D8F">
        <w:t>60</w:t>
      </w:r>
      <w:r w:rsidRPr="00CC1E93">
        <w:t xml:space="preserve"> мин.</w:t>
      </w:r>
    </w:p>
    <w:p w:rsidR="00CF300E" w:rsidRPr="00CC1E93" w:rsidRDefault="00CF300E" w:rsidP="00CF300E">
      <w:r w:rsidRPr="00CC1E93">
        <w:t>Ожидаемый результат:</w:t>
      </w:r>
    </w:p>
    <w:p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:rsidR="00D26671" w:rsidRPr="00CC1E93" w:rsidRDefault="00D15353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D26671" w:rsidRPr="00CC1E93" w:rsidRDefault="00D15353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D26671" w:rsidRPr="00CC1E93" w:rsidRDefault="00D15353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:rsidR="00D26671" w:rsidRPr="00CC1E93" w:rsidRDefault="00D15353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:rsidR="00D26671" w:rsidRPr="00CC1E93" w:rsidRDefault="00D15353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:rsidTr="00275FE2">
        <w:trPr>
          <w:jc w:val="center"/>
        </w:trPr>
        <w:tc>
          <w:tcPr>
            <w:tcW w:w="1134" w:type="dxa"/>
          </w:tcPr>
          <w:p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:rsidR="00D26671" w:rsidRPr="00D26671" w:rsidRDefault="00D26671" w:rsidP="00275FE2">
            <w:pPr>
              <w:ind w:firstLine="0"/>
              <w:rPr>
                <w:oMath/>
                <w:rFonts w:ascii="Cambria Math" w:eastAsiaTheme="minorEastAsia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:rsidR="00D26671" w:rsidRDefault="00765D8F" w:rsidP="00CF300E">
      <w:r>
        <w:t>2. Так как данные не сгруппированы</w:t>
      </w:r>
    </w:p>
    <w:p w:rsidR="00765D8F" w:rsidRPr="00765D8F" w:rsidRDefault="00D15353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:rsidR="00765D8F" w:rsidRPr="00765D8F" w:rsidRDefault="00D15353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:rsidR="00765D8F" w:rsidRPr="00765D8F" w:rsidRDefault="00D15353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:rsidR="00765D8F" w:rsidRPr="00765D8F" w:rsidRDefault="00D15353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:rsidR="00765D8F" w:rsidRPr="00765D8F" w:rsidRDefault="00D15353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:rsidR="00765D8F" w:rsidRPr="00765D8F" w:rsidRDefault="00D15353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:rsidR="00765D8F" w:rsidRPr="00765D8F" w:rsidRDefault="00D15353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:rsidR="00765D8F" w:rsidRPr="00765D8F" w:rsidRDefault="00D15353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:rsidR="00765D8F" w:rsidRDefault="00765D8F" w:rsidP="00CF300E">
      <w:pPr>
        <w:rPr>
          <w:i/>
          <w:lang w:val="en-US"/>
        </w:rPr>
      </w:pPr>
    </w:p>
    <w:p w:rsidR="00765D8F" w:rsidRPr="006435C7" w:rsidRDefault="00D15353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:rsidR="006435C7" w:rsidRPr="006435C7" w:rsidRDefault="00D15353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:rsidR="008E6D8B" w:rsidRPr="008E6D8B" w:rsidRDefault="00D15353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:rsidR="008E6D8B" w:rsidRPr="008E6D8B" w:rsidRDefault="00D15353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:rsidR="008E6D8B" w:rsidRPr="008E6D8B" w:rsidRDefault="00D15353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:rsidR="001529BB" w:rsidRPr="008E6D8B" w:rsidRDefault="00D15353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:rsidR="001529BB" w:rsidRPr="000A2F2E" w:rsidRDefault="00D15353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:rsidR="00D65728" w:rsidRPr="00D65728" w:rsidRDefault="00D15353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:rsidR="00DA3FC5" w:rsidRPr="00CC1E93" w:rsidRDefault="00DA3FC5" w:rsidP="00DA3FC5">
      <w:r w:rsidRPr="00CC1E93">
        <w:t>Критерии оценивания:</w:t>
      </w:r>
    </w:p>
    <w:p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:rsidR="00CF300E" w:rsidRPr="00CC1E93" w:rsidRDefault="002F7E35" w:rsidP="00CF300E">
      <w:r>
        <w:t>Компетенции (индикаторы): УК-2, ПК-1</w:t>
      </w:r>
    </w:p>
    <w:p w:rsidR="00F51BB9" w:rsidRPr="00CC1E93" w:rsidRDefault="00F51BB9" w:rsidP="00F51BB9"/>
    <w:p w:rsidR="00495EDC" w:rsidRPr="00CC1E93" w:rsidRDefault="00495EDC" w:rsidP="006943A0">
      <w:pPr>
        <w:tabs>
          <w:tab w:val="left" w:pos="7938"/>
        </w:tabs>
      </w:pPr>
    </w:p>
    <w:sectPr w:rsidR="00495EDC" w:rsidRPr="00CC1E9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AC" w:rsidRDefault="000743AC" w:rsidP="006943A0">
      <w:r>
        <w:separator/>
      </w:r>
    </w:p>
  </w:endnote>
  <w:endnote w:type="continuationSeparator" w:id="1">
    <w:p w:rsidR="000743AC" w:rsidRDefault="000743AC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D1535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87B9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AC" w:rsidRDefault="000743AC" w:rsidP="006943A0">
      <w:r>
        <w:separator/>
      </w:r>
    </w:p>
  </w:footnote>
  <w:footnote w:type="continuationSeparator" w:id="1">
    <w:p w:rsidR="000743AC" w:rsidRDefault="000743AC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12D0D"/>
    <w:rsid w:val="00017F5D"/>
    <w:rsid w:val="00047F4A"/>
    <w:rsid w:val="0006311A"/>
    <w:rsid w:val="000743AC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2F7E35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87B94"/>
    <w:rsid w:val="007A75A3"/>
    <w:rsid w:val="007B41E4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5353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81708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2F7E3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F7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Lenovo</cp:lastModifiedBy>
  <cp:revision>25</cp:revision>
  <dcterms:created xsi:type="dcterms:W3CDTF">2025-02-14T19:20:00Z</dcterms:created>
  <dcterms:modified xsi:type="dcterms:W3CDTF">2025-03-18T10:06:00Z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