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5F2D63B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Pr>
          <w:rFonts w:ascii="Times New Roman" w:hAnsi="Times New Roman"/>
          <w:sz w:val="28"/>
          <w:szCs w:val="28"/>
        </w:rPr>
        <w:t xml:space="preserve"> </w:t>
      </w:r>
      <w:r w:rsidR="00DE089F" w:rsidRPr="00DE089F">
        <w:rPr>
          <w:rFonts w:ascii="Times New Roman" w:hAnsi="Times New Roman"/>
          <w:sz w:val="28"/>
          <w:szCs w:val="28"/>
        </w:rPr>
        <w:t>УК-10 (УК-10.1, УК-10.2, УК-10.3)</w:t>
      </w:r>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1C432471" w:rsidR="00025D9F" w:rsidRPr="009A133F" w:rsidRDefault="00431585" w:rsidP="00017269">
      <w:pPr>
        <w:spacing w:after="0" w:line="240" w:lineRule="auto"/>
        <w:jc w:val="both"/>
        <w:rPr>
          <w:rFonts w:ascii="Times New Roman" w:hAnsi="Times New Roman"/>
          <w:sz w:val="28"/>
          <w:szCs w:val="28"/>
        </w:rPr>
      </w:pPr>
      <w:r>
        <w:rPr>
          <w:rFonts w:ascii="Times New Roman" w:hAnsi="Times New Roman"/>
          <w:sz w:val="28"/>
          <w:szCs w:val="28"/>
        </w:rPr>
        <w:t>Полезность</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3E8F90B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47BEA702" w:rsidR="00025D9F" w:rsidRPr="009A133F" w:rsidRDefault="00431585"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Постоянные издержки</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48E04B0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5B48264D"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Деньги выступают посредником при обмене тов</w:t>
      </w:r>
      <w:r w:rsidR="00431585">
        <w:rPr>
          <w:rFonts w:ascii="Times New Roman" w:hAnsi="Times New Roman"/>
          <w:sz w:val="28"/>
          <w:szCs w:val="28"/>
        </w:rPr>
        <w:t>аров и услуг, выполняя функцию</w:t>
      </w:r>
      <w:bookmarkStart w:id="0" w:name="_GoBack"/>
      <w:bookmarkEnd w:id="0"/>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1129004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46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049DAB8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46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2F5048E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017269">
        <w:rPr>
          <w:rFonts w:ascii="Times New Roman" w:hAnsi="Times New Roman"/>
          <w:i/>
          <w:iCs/>
          <w:sz w:val="28"/>
          <w:szCs w:val="28"/>
          <w:lang w:eastAsia="ru-RU"/>
        </w:rPr>
        <w:t>пофакторными</w:t>
      </w:r>
      <w:proofErr w:type="spellEnd"/>
      <w:r w:rsidR="00025D9F"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231B6DA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Кенэ</w:t>
            </w:r>
            <w:proofErr w:type="spellEnd"/>
            <w:r w:rsidR="00025D9F" w:rsidRPr="009A133F">
              <w:rPr>
                <w:rFonts w:ascii="Times New Roman" w:hAnsi="Times New Roman"/>
                <w:sz w:val="28"/>
                <w:szCs w:val="28"/>
              </w:rPr>
              <w:t>,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xml:space="preserve">) А. </w:t>
            </w:r>
            <w:proofErr w:type="spellStart"/>
            <w:r w:rsidR="00025D9F" w:rsidRPr="009A133F">
              <w:rPr>
                <w:rFonts w:ascii="Times New Roman" w:hAnsi="Times New Roman"/>
                <w:sz w:val="28"/>
                <w:szCs w:val="28"/>
              </w:rPr>
              <w:t>Монкретьен</w:t>
            </w:r>
            <w:proofErr w:type="spellEnd"/>
            <w:r w:rsidR="00025D9F" w:rsidRPr="009A133F">
              <w:rPr>
                <w:rFonts w:ascii="Times New Roman" w:hAnsi="Times New Roman"/>
                <w:sz w:val="28"/>
                <w:szCs w:val="28"/>
              </w:rPr>
              <w:t>,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xml:space="preserve">) К. </w:t>
            </w:r>
            <w:proofErr w:type="spellStart"/>
            <w:r w:rsidR="00025D9F" w:rsidRPr="009A133F">
              <w:rPr>
                <w:rFonts w:ascii="Times New Roman" w:hAnsi="Times New Roman"/>
                <w:sz w:val="28"/>
                <w:szCs w:val="28"/>
              </w:rPr>
              <w:t>Менгер</w:t>
            </w:r>
            <w:proofErr w:type="spellEnd"/>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Визер</w:t>
            </w:r>
            <w:proofErr w:type="spellEnd"/>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proofErr w:type="spellStart"/>
            <w:r w:rsidR="00025D9F" w:rsidRPr="009A133F">
              <w:rPr>
                <w:rFonts w:ascii="Times New Roman" w:hAnsi="Times New Roman"/>
                <w:sz w:val="28"/>
                <w:szCs w:val="28"/>
              </w:rPr>
              <w:t>Маржиналисты</w:t>
            </w:r>
            <w:proofErr w:type="spellEnd"/>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5188A8E0"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158C837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648431E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58243C8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321BCFC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E541B7">
      <w:pPr>
        <w:pStyle w:val="4"/>
        <w:ind w:firstLine="708"/>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6A5B910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3D7C4F7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3B9E641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0F9119A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0A2D1AF" w14:textId="77777777"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700205AD"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048AAC0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5D5F0BB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5E0FEED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28DFBFDE" w14:textId="77777777"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74403316"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3E260D02"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1116B429"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w:t>
      </w:r>
      <w:r w:rsidRPr="00332A21">
        <w:rPr>
          <w:rFonts w:ascii="Times New Roman" w:hAnsi="Times New Roman"/>
          <w:sz w:val="28"/>
          <w:szCs w:val="28"/>
        </w:rPr>
        <w:lastRenderedPageBreak/>
        <w:t>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57883415"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DE089F" w:rsidRPr="00DE089F">
        <w:t xml:space="preserve"> </w:t>
      </w:r>
      <w:r w:rsidR="00DE089F" w:rsidRPr="00DE089F">
        <w:rPr>
          <w:rFonts w:ascii="Times New Roman" w:hAnsi="Times New Roman"/>
          <w:sz w:val="28"/>
          <w:szCs w:val="28"/>
        </w:rPr>
        <w:t>УК-10 (УК-10.1, УК-10.2, УК-10.3)</w:t>
      </w:r>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31585"/>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B20FB5"/>
    <w:rsid w:val="00B23F97"/>
    <w:rsid w:val="00B33B4E"/>
    <w:rsid w:val="00B7056C"/>
    <w:rsid w:val="00B711D9"/>
    <w:rsid w:val="00BB5FF8"/>
    <w:rsid w:val="00BC1712"/>
    <w:rsid w:val="00BC62B7"/>
    <w:rsid w:val="00BF392A"/>
    <w:rsid w:val="00BF59E7"/>
    <w:rsid w:val="00C2429B"/>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E089F"/>
    <w:rsid w:val="00DF7944"/>
    <w:rsid w:val="00E0523F"/>
    <w:rsid w:val="00E32A85"/>
    <w:rsid w:val="00E541B7"/>
    <w:rsid w:val="00E638A6"/>
    <w:rsid w:val="00E85923"/>
    <w:rsid w:val="00E954E1"/>
    <w:rsid w:val="00EB32FC"/>
    <w:rsid w:val="00EC34A5"/>
    <w:rsid w:val="00ED0060"/>
    <w:rsid w:val="00ED112A"/>
    <w:rsid w:val="00EF6DFE"/>
    <w:rsid w:val="00F0366A"/>
    <w:rsid w:val="00F300CE"/>
    <w:rsid w:val="00F41693"/>
    <w:rsid w:val="00F42BEF"/>
    <w:rsid w:val="00F533C7"/>
    <w:rsid w:val="00F54056"/>
    <w:rsid w:val="00F6593E"/>
    <w:rsid w:val="00F85524"/>
    <w:rsid w:val="00F90FCF"/>
    <w:rsid w:val="00F93432"/>
    <w:rsid w:val="00FA0B3C"/>
    <w:rsid w:val="00FB0190"/>
    <w:rsid w:val="00FD6D9D"/>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520AA6EF-0248-4056-8D87-0BE7F041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dcterms:created xsi:type="dcterms:W3CDTF">2025-02-17T09:33:00Z</dcterms:created>
  <dcterms:modified xsi:type="dcterms:W3CDTF">2025-04-01T20:48:00Z</dcterms:modified>
</cp:coreProperties>
</file>